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5219" w14:textId="77777777" w:rsidR="00F23803" w:rsidRDefault="00F23803" w:rsidP="00F23803">
      <w:pPr>
        <w:pStyle w:val="Caption"/>
        <w:rPr>
          <w:caps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FF3428" wp14:editId="7780A6A3">
            <wp:simplePos x="0" y="0"/>
            <wp:positionH relativeFrom="column">
              <wp:posOffset>7608875</wp:posOffset>
            </wp:positionH>
            <wp:positionV relativeFrom="paragraph">
              <wp:posOffset>585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61C10C0">
        <w:rPr>
          <w:caps/>
          <w:sz w:val="36"/>
          <w:szCs w:val="36"/>
        </w:rPr>
        <w:t>Risk Assessment Template</w:t>
      </w:r>
    </w:p>
    <w:p w14:paraId="022E7CA0" w14:textId="77777777" w:rsidR="00F23803" w:rsidRDefault="00F23803" w:rsidP="00F23803"/>
    <w:p w14:paraId="4C6FBD32" w14:textId="77777777" w:rsidR="00F23803" w:rsidRDefault="00F23803" w:rsidP="00F23803">
      <w:pPr>
        <w:ind w:left="567"/>
      </w:pPr>
    </w:p>
    <w:p w14:paraId="75BA1469" w14:textId="77777777" w:rsidR="00F23803" w:rsidRDefault="00F23803" w:rsidP="00F23803">
      <w:pPr>
        <w:pStyle w:val="Caption"/>
        <w:ind w:left="567"/>
        <w:jc w:val="left"/>
      </w:pPr>
      <w:r>
        <w:t>Risk Matrix and Rating Guidance:</w:t>
      </w:r>
    </w:p>
    <w:p w14:paraId="7EADEA8A" w14:textId="77777777" w:rsidR="00F23803" w:rsidRDefault="00F23803" w:rsidP="00F23803">
      <w:pPr>
        <w:pStyle w:val="BodyTextIndent"/>
        <w:ind w:left="567" w:firstLine="0"/>
        <w:jc w:val="left"/>
      </w:pPr>
      <w:r>
        <w:t xml:space="preserve">The assessor shall assign values for the hazard severity </w:t>
      </w:r>
      <w:r>
        <w:rPr>
          <w:b/>
        </w:rPr>
        <w:t>(a)</w:t>
      </w:r>
      <w:r>
        <w:t xml:space="preserve"> and likelihood of occurrence </w:t>
      </w:r>
      <w:r>
        <w:rPr>
          <w:b/>
        </w:rPr>
        <w:t>(b)</w:t>
      </w:r>
      <w:r>
        <w:t xml:space="preserve"> (taking into account the frequency and duration of exposure) on a scale of 1 to 5, then multiply them together to give the rating band:</w:t>
      </w:r>
    </w:p>
    <w:p w14:paraId="710BADA3" w14:textId="77777777" w:rsidR="00F23803" w:rsidRDefault="00F23803" w:rsidP="00F23803">
      <w:pPr>
        <w:pStyle w:val="BodyTextIndent"/>
        <w:ind w:left="1276" w:firstLine="0"/>
        <w:jc w:val="left"/>
      </w:pPr>
    </w:p>
    <w:p w14:paraId="681129A4" w14:textId="77777777" w:rsidR="00F23803" w:rsidRDefault="00F23803" w:rsidP="00F23803">
      <w:pPr>
        <w:jc w:val="center"/>
        <w:rPr>
          <w:sz w:val="2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9"/>
        <w:gridCol w:w="5244"/>
      </w:tblGrid>
      <w:tr w:rsidR="00F23803" w14:paraId="67864FDE" w14:textId="77777777" w:rsidTr="00A9403B">
        <w:trPr>
          <w:cantSplit/>
          <w:trHeight w:val="433"/>
          <w:jc w:val="center"/>
        </w:trPr>
        <w:tc>
          <w:tcPr>
            <w:tcW w:w="8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777A47" w14:textId="77777777" w:rsidR="00F23803" w:rsidRPr="00F23803" w:rsidRDefault="00F23803" w:rsidP="00A9403B">
            <w:pPr>
              <w:pStyle w:val="Heading3"/>
              <w:rPr>
                <w:rFonts w:ascii="Arial" w:hAnsi="Arial" w:cs="Arial"/>
                <w:sz w:val="32"/>
                <w:szCs w:val="32"/>
              </w:rPr>
            </w:pPr>
            <w:r w:rsidRPr="00F23803">
              <w:rPr>
                <w:rFonts w:ascii="Arial" w:hAnsi="Arial" w:cs="Arial"/>
                <w:sz w:val="32"/>
                <w:szCs w:val="32"/>
              </w:rPr>
              <w:t>Hazard Severity (a)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9ADFBF" w14:textId="77777777" w:rsidR="00F23803" w:rsidRPr="00F23803" w:rsidRDefault="00F23803" w:rsidP="00A9403B">
            <w:pPr>
              <w:pStyle w:val="Heading4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F23803">
              <w:rPr>
                <w:rFonts w:ascii="Arial" w:hAnsi="Arial" w:cs="Arial"/>
                <w:sz w:val="32"/>
                <w:szCs w:val="32"/>
              </w:rPr>
              <w:t>Likelihood of Occurrence (b)</w:t>
            </w:r>
          </w:p>
        </w:tc>
      </w:tr>
      <w:tr w:rsidR="00F23803" w14:paraId="682F80B1" w14:textId="77777777" w:rsidTr="00F23803">
        <w:trPr>
          <w:cantSplit/>
          <w:trHeight w:val="4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DB4E" w14:textId="77777777" w:rsidR="00F23803" w:rsidRDefault="00F23803" w:rsidP="00A9403B">
            <w:pPr>
              <w:rPr>
                <w:b/>
                <w:bCs/>
                <w:color w:val="000000"/>
                <w:sz w:val="2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0924" w14:textId="77777777" w:rsidR="00F23803" w:rsidRDefault="00F23803" w:rsidP="00A9403B">
            <w:pPr>
              <w:rPr>
                <w:color w:val="000000"/>
                <w:sz w:val="28"/>
                <w:szCs w:val="22"/>
              </w:rPr>
            </w:pPr>
          </w:p>
        </w:tc>
      </w:tr>
      <w:tr w:rsidR="00F23803" w14:paraId="1DA900B0" w14:textId="77777777" w:rsidTr="00A9403B">
        <w:trPr>
          <w:cantSplit/>
          <w:trHeight w:val="1112"/>
          <w:jc w:val="center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059C" w14:textId="77777777" w:rsidR="00F23803" w:rsidRDefault="00F23803" w:rsidP="00A9403B">
            <w:pPr>
              <w:pStyle w:val="Heading6"/>
              <w:tabs>
                <w:tab w:val="left" w:pos="1451"/>
              </w:tabs>
              <w:spacing w:before="10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– Trivial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 w:val="0"/>
                <w:bCs w:val="0"/>
                <w:sz w:val="22"/>
              </w:rPr>
              <w:t>(e.g. discomfort, slight bruising, self-help recovery)</w:t>
            </w:r>
          </w:p>
          <w:p w14:paraId="3508D617" w14:textId="77777777" w:rsidR="00F23803" w:rsidRDefault="00F23803" w:rsidP="00A9403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(e.g. small cut, abrasion, basic first aid need)</w:t>
            </w:r>
          </w:p>
          <w:p w14:paraId="2F09EE79" w14:textId="77777777" w:rsidR="00F23803" w:rsidRDefault="00F23803" w:rsidP="00A9403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(e.g. strain, sprain, incapacitation &gt; 3 days)</w:t>
            </w:r>
          </w:p>
          <w:p w14:paraId="2B0E6D31" w14:textId="77777777" w:rsidR="00F23803" w:rsidRDefault="00F23803" w:rsidP="00A9403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(e.g. fracture, hospitalisation &gt;24 hrs, incapacitation &gt;4 weeks)</w:t>
            </w:r>
          </w:p>
          <w:p w14:paraId="637FA8BC" w14:textId="77777777" w:rsidR="00F23803" w:rsidRDefault="00F23803" w:rsidP="00A9403B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11C5" w14:textId="77777777" w:rsidR="00F23803" w:rsidRDefault="00F23803" w:rsidP="00A9403B">
            <w:pPr>
              <w:tabs>
                <w:tab w:val="left" w:pos="1593"/>
              </w:tabs>
              <w:spacing w:before="100"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46AB9014" w14:textId="77777777" w:rsidR="00F23803" w:rsidRDefault="00F23803" w:rsidP="00A9403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3EC31D1E" w14:textId="77777777" w:rsidR="00F23803" w:rsidRDefault="00F23803" w:rsidP="00A9403B">
            <w:pPr>
              <w:tabs>
                <w:tab w:val="left" w:pos="1593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5E40D72C" w14:textId="77777777" w:rsidR="00F23803" w:rsidRDefault="00F23803" w:rsidP="00A9403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14:paraId="788B9390" w14:textId="77777777" w:rsidR="00F23803" w:rsidRDefault="00F23803" w:rsidP="00A9403B">
            <w:pPr>
              <w:tabs>
                <w:tab w:val="left" w:pos="1593"/>
              </w:tabs>
              <w:spacing w:after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</w:tc>
      </w:tr>
    </w:tbl>
    <w:p w14:paraId="778C1FB3" w14:textId="77777777" w:rsidR="00F23803" w:rsidRDefault="00F23803" w:rsidP="00F23803">
      <w:pPr>
        <w:rPr>
          <w:color w:val="FFFFFF"/>
          <w:sz w:val="4"/>
          <w:szCs w:val="22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8"/>
        <w:gridCol w:w="7087"/>
      </w:tblGrid>
      <w:tr w:rsidR="00F23803" w14:paraId="305B8DAB" w14:textId="77777777" w:rsidTr="00A9403B">
        <w:trPr>
          <w:jc w:val="center"/>
        </w:trPr>
        <w:tc>
          <w:tcPr>
            <w:tcW w:w="6648" w:type="dxa"/>
          </w:tcPr>
          <w:p w14:paraId="55A905F8" w14:textId="77777777" w:rsidR="00F23803" w:rsidRDefault="00F23803" w:rsidP="00F23803">
            <w:pPr>
              <w:pStyle w:val="BodyTextIndent2"/>
              <w:ind w:right="507" w:firstLine="0"/>
              <w:jc w:val="left"/>
            </w:pPr>
          </w:p>
        </w:tc>
        <w:tc>
          <w:tcPr>
            <w:tcW w:w="7087" w:type="dxa"/>
          </w:tcPr>
          <w:p w14:paraId="5056E351" w14:textId="77777777" w:rsidR="00F23803" w:rsidRDefault="00F23803" w:rsidP="00F23803">
            <w:pPr>
              <w:pStyle w:val="BodyTextIndent2"/>
              <w:ind w:right="507" w:firstLine="0"/>
              <w:jc w:val="left"/>
            </w:pPr>
          </w:p>
        </w:tc>
      </w:tr>
    </w:tbl>
    <w:p w14:paraId="43569A89" w14:textId="77777777" w:rsidR="00F23803" w:rsidRDefault="00F23803" w:rsidP="00F23803">
      <w:pPr>
        <w:rPr>
          <w:sz w:val="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970"/>
        <w:gridCol w:w="953"/>
        <w:gridCol w:w="1283"/>
        <w:gridCol w:w="1117"/>
        <w:gridCol w:w="828"/>
        <w:gridCol w:w="554"/>
        <w:gridCol w:w="1773"/>
        <w:gridCol w:w="2152"/>
        <w:gridCol w:w="2508"/>
      </w:tblGrid>
      <w:tr w:rsidR="00F23803" w14:paraId="750E011C" w14:textId="77777777" w:rsidTr="00F23803">
        <w:tc>
          <w:tcPr>
            <w:tcW w:w="7047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6C734332" w14:textId="77777777" w:rsidR="00F23803" w:rsidRDefault="00F23803" w:rsidP="00A9403B">
            <w:pPr>
              <w:tabs>
                <w:tab w:val="left" w:pos="8755"/>
              </w:tabs>
              <w:spacing w:before="60" w:after="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Risk Assessment Matrix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5D5AB" w14:textId="77777777" w:rsidR="00F23803" w:rsidRDefault="00F23803" w:rsidP="00A9403B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3842C861" w14:textId="77777777" w:rsidR="00F23803" w:rsidRDefault="00F23803" w:rsidP="00A9403B">
            <w:pPr>
              <w:tabs>
                <w:tab w:val="left" w:pos="8755"/>
              </w:tabs>
              <w:spacing w:before="60" w:after="6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sz w:val="28"/>
              </w:rPr>
              <w:t>Risk Rating Bands  (</w:t>
            </w:r>
            <w:r>
              <w:rPr>
                <w:b/>
                <w:color w:val="FF00FF"/>
                <w:sz w:val="28"/>
              </w:rPr>
              <w:t>A</w:t>
            </w:r>
            <w:r>
              <w:rPr>
                <w:b/>
                <w:sz w:val="28"/>
              </w:rPr>
              <w:t xml:space="preserve"> x </w:t>
            </w:r>
            <w:r>
              <w:rPr>
                <w:b/>
                <w:color w:val="FF00FF"/>
                <w:sz w:val="28"/>
              </w:rPr>
              <w:t>B</w:t>
            </w:r>
            <w:r>
              <w:rPr>
                <w:b/>
                <w:sz w:val="28"/>
              </w:rPr>
              <w:t>)</w:t>
            </w:r>
          </w:p>
        </w:tc>
      </w:tr>
      <w:tr w:rsidR="00F23803" w14:paraId="708E66E1" w14:textId="77777777" w:rsidTr="00F23803">
        <w:tc>
          <w:tcPr>
            <w:tcW w:w="18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8124" w14:textId="77777777" w:rsidR="00F23803" w:rsidRDefault="00F23803" w:rsidP="00A9403B">
            <w:pPr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(</w:t>
            </w:r>
            <w:r>
              <w:rPr>
                <w:b/>
                <w:noProof/>
                <w:color w:val="FF00FF"/>
                <w:sz w:val="24"/>
                <w:lang w:eastAsia="en-GB"/>
              </w:rPr>
              <w:t>B</w:t>
            </w:r>
            <w:r>
              <w:rPr>
                <w:b/>
                <w:noProof/>
                <w:sz w:val="24"/>
                <w:lang w:eastAsia="en-GB"/>
              </w:rPr>
              <w:t>)</w:t>
            </w:r>
            <w:r>
              <w:rPr>
                <w:rFonts w:ascii="Wingdings 3" w:eastAsia="Wingdings 3" w:hAnsi="Wingdings 3" w:cs="Wingdings 3"/>
                <w:b/>
                <w:noProof/>
                <w:sz w:val="24"/>
                <w:lang w:eastAsia="en-GB"/>
              </w:rPr>
              <w:t></w:t>
            </w:r>
            <w:r>
              <w:rPr>
                <w:b/>
                <w:noProof/>
                <w:sz w:val="24"/>
                <w:lang w:eastAsia="en-GB"/>
              </w:rPr>
              <w:t xml:space="preserve">       (</w:t>
            </w:r>
            <w:r>
              <w:rPr>
                <w:b/>
                <w:noProof/>
                <w:color w:val="FF00FF"/>
                <w:sz w:val="24"/>
                <w:lang w:eastAsia="en-GB"/>
              </w:rPr>
              <w:t>A</w:t>
            </w:r>
            <w:r>
              <w:rPr>
                <w:b/>
                <w:noProof/>
                <w:sz w:val="24"/>
                <w:lang w:eastAsia="en-GB"/>
              </w:rPr>
              <w:t>)</w:t>
            </w:r>
            <w:r>
              <w:rPr>
                <w:rFonts w:ascii="Wingdings 3" w:eastAsia="Wingdings 3" w:hAnsi="Wingdings 3" w:cs="Wingdings 3"/>
                <w:b/>
                <w:noProof/>
                <w:sz w:val="24"/>
                <w:lang w:eastAsia="en-GB"/>
              </w:rPr>
              <w:t></w:t>
            </w: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9600031" w14:textId="77777777" w:rsidR="00F23803" w:rsidRDefault="00F23803" w:rsidP="00A9403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Trivial</w:t>
            </w:r>
          </w:p>
        </w:tc>
        <w:tc>
          <w:tcPr>
            <w:tcW w:w="95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2F447E4" w14:textId="77777777" w:rsidR="00F23803" w:rsidRDefault="00F23803" w:rsidP="00A9403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Minor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076EBD8" w14:textId="77777777" w:rsidR="00F23803" w:rsidRDefault="00F23803" w:rsidP="00A9403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Moderate</w:t>
            </w:r>
          </w:p>
        </w:tc>
        <w:tc>
          <w:tcPr>
            <w:tcW w:w="11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D42743F" w14:textId="77777777" w:rsidR="00F23803" w:rsidRDefault="00F23803" w:rsidP="00A9403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Serious</w:t>
            </w:r>
          </w:p>
        </w:tc>
        <w:tc>
          <w:tcPr>
            <w:tcW w:w="8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9723FE5" w14:textId="77777777" w:rsidR="00F23803" w:rsidRDefault="00F23803" w:rsidP="00A9403B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Fatal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3F0A1812" w14:textId="77777777" w:rsidR="00F23803" w:rsidRDefault="00F23803" w:rsidP="00A9403B">
            <w:pPr>
              <w:tabs>
                <w:tab w:val="left" w:pos="8755"/>
              </w:tabs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4941" w14:textId="77777777" w:rsidR="00F23803" w:rsidRDefault="00F23803" w:rsidP="00A94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LOW RISK</w:t>
            </w:r>
          </w:p>
          <w:p w14:paraId="19E8E682" w14:textId="77777777" w:rsidR="00F23803" w:rsidRDefault="00F23803" w:rsidP="00A94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 – 8)</w:t>
            </w:r>
          </w:p>
        </w:tc>
        <w:tc>
          <w:tcPr>
            <w:tcW w:w="21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BCEE" w14:textId="77777777" w:rsidR="00F23803" w:rsidRDefault="00F23803" w:rsidP="00A9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MEDIUM RISK</w:t>
            </w:r>
          </w:p>
          <w:p w14:paraId="205FC22E" w14:textId="77777777" w:rsidR="00F23803" w:rsidRDefault="00F23803" w:rsidP="00A9403B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000000"/>
                <w:szCs w:val="22"/>
              </w:rPr>
              <w:t>(9  - 12)</w:t>
            </w:r>
          </w:p>
        </w:tc>
        <w:tc>
          <w:tcPr>
            <w:tcW w:w="25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4A91407" w14:textId="77777777" w:rsidR="00F23803" w:rsidRDefault="00F23803" w:rsidP="00A9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HIGH RISK</w:t>
            </w:r>
          </w:p>
          <w:p w14:paraId="3571F9F1" w14:textId="77777777" w:rsidR="00F23803" w:rsidRDefault="00F23803" w:rsidP="00A9403B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000000"/>
                <w:szCs w:val="22"/>
              </w:rPr>
              <w:t>(15 - 25)</w:t>
            </w:r>
          </w:p>
        </w:tc>
      </w:tr>
      <w:tr w:rsidR="00F23803" w14:paraId="794B8500" w14:textId="77777777" w:rsidTr="00F23803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20DC378" w14:textId="77777777" w:rsidR="00F23803" w:rsidRDefault="00F23803" w:rsidP="00A9403B">
            <w:pPr>
              <w:spacing w:before="60" w:after="60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Remote</w:t>
            </w:r>
          </w:p>
        </w:tc>
        <w:tc>
          <w:tcPr>
            <w:tcW w:w="97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0510A4A5" w14:textId="77777777" w:rsidR="00F23803" w:rsidRDefault="00F23803" w:rsidP="00A9403B">
            <w:pPr>
              <w:spacing w:before="60" w:after="6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6A88FD72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246FDE66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72B3BCAD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FF00"/>
            <w:vAlign w:val="center"/>
            <w:hideMark/>
          </w:tcPr>
          <w:p w14:paraId="745A3FF1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553ED92" w14:textId="77777777" w:rsidR="00F23803" w:rsidRDefault="00F23803" w:rsidP="00A9403B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FCDDEF8" w14:textId="77777777" w:rsidR="00F23803" w:rsidRDefault="00F23803" w:rsidP="00A9403B">
            <w:pPr>
              <w:jc w:val="center"/>
              <w:rPr>
                <w:b/>
                <w:b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EF9D45" w14:textId="77777777" w:rsidR="00F23803" w:rsidRDefault="00F23803" w:rsidP="00A9403B">
            <w:pPr>
              <w:jc w:val="center"/>
              <w:rPr>
                <w:b/>
                <w:bCs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</w:tcPr>
          <w:p w14:paraId="1E713D5B" w14:textId="77777777" w:rsidR="00F23803" w:rsidRDefault="00F23803" w:rsidP="00A9403B">
            <w:pPr>
              <w:jc w:val="center"/>
              <w:rPr>
                <w:b/>
                <w:bCs/>
              </w:rPr>
            </w:pPr>
          </w:p>
        </w:tc>
      </w:tr>
      <w:tr w:rsidR="00F23803" w14:paraId="0261BE4A" w14:textId="77777777" w:rsidTr="00F23803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13A5300" w14:textId="77777777" w:rsidR="00F23803" w:rsidRDefault="00F23803" w:rsidP="00A9403B">
            <w:pPr>
              <w:spacing w:before="60" w:after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Unlikely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158F0689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2AFA7FF3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670B605F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3A7D0736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00"/>
            <w:vAlign w:val="center"/>
            <w:hideMark/>
          </w:tcPr>
          <w:p w14:paraId="698A6F44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7EDB7CEF" w14:textId="77777777" w:rsidR="00F23803" w:rsidRDefault="00F23803" w:rsidP="00A9403B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554D8FB" w14:textId="77777777" w:rsidR="00F23803" w:rsidRDefault="00F23803" w:rsidP="00A9403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shd w:val="clear" w:color="auto" w:fill="00FF00"/>
              </w:rPr>
              <w:t>Continue</w:t>
            </w:r>
            <w:r>
              <w:rPr>
                <w:color w:val="000000"/>
                <w:szCs w:val="22"/>
              </w:rPr>
              <w:t xml:space="preserve">, </w:t>
            </w:r>
          </w:p>
          <w:p w14:paraId="6314EE46" w14:textId="77777777" w:rsidR="00F23803" w:rsidRDefault="00F23803" w:rsidP="00A9403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but review periodically to ensure controls remain effective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505CC25" w14:textId="77777777" w:rsidR="00F23803" w:rsidRDefault="00F23803" w:rsidP="00A9403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shd w:val="clear" w:color="auto" w:fill="FFC000"/>
              </w:rPr>
              <w:t>Continue</w:t>
            </w:r>
            <w:r>
              <w:rPr>
                <w:color w:val="000000"/>
                <w:szCs w:val="22"/>
              </w:rPr>
              <w:t xml:space="preserve">, </w:t>
            </w:r>
          </w:p>
          <w:p w14:paraId="3A7583AE" w14:textId="77777777" w:rsidR="00F23803" w:rsidRDefault="00F23803" w:rsidP="00A9403B">
            <w:pPr>
              <w:autoSpaceDE w:val="0"/>
              <w:autoSpaceDN w:val="0"/>
              <w:adjustRightInd w:val="0"/>
              <w:jc w:val="center"/>
              <w:rPr>
                <w:color w:val="FFFFFF"/>
                <w:szCs w:val="22"/>
              </w:rPr>
            </w:pPr>
            <w:r>
              <w:rPr>
                <w:color w:val="000000"/>
                <w:szCs w:val="22"/>
              </w:rPr>
              <w:t>but implement additional reasonably practicable controls where possible and monitor regularly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4974B0" w14:textId="77777777" w:rsidR="00F23803" w:rsidRDefault="00F23803" w:rsidP="00A940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FFFFFF"/>
                <w:sz w:val="20"/>
                <w:szCs w:val="22"/>
                <w:shd w:val="clear" w:color="auto" w:fill="FF0000"/>
              </w:rPr>
              <w:t>STOP THE ACTIVITY</w:t>
            </w:r>
          </w:p>
          <w:p w14:paraId="220E72E9" w14:textId="77777777" w:rsidR="00F23803" w:rsidRDefault="00F23803" w:rsidP="00A940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22"/>
              </w:rPr>
            </w:pPr>
          </w:p>
          <w:p w14:paraId="1F5B087F" w14:textId="77777777" w:rsidR="00F23803" w:rsidRDefault="00F23803" w:rsidP="00A9403B">
            <w:pPr>
              <w:jc w:val="center"/>
              <w:rPr>
                <w:b/>
                <w:bCs/>
                <w:color w:val="000000"/>
              </w:rPr>
            </w:pPr>
            <w:r>
              <w:t>Identify new controls. Activity must not proceed until risks are reduced to a low or medium level</w:t>
            </w:r>
          </w:p>
        </w:tc>
      </w:tr>
      <w:tr w:rsidR="00F23803" w14:paraId="22A7C970" w14:textId="77777777" w:rsidTr="00F23803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CDE1AA" w14:textId="77777777" w:rsidR="00F23803" w:rsidRDefault="00F23803" w:rsidP="00A9403B">
            <w:pPr>
              <w:spacing w:before="60" w:after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Possible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47572D39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766EB4DA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101D0489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4443C0A1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  <w:hideMark/>
          </w:tcPr>
          <w:p w14:paraId="7641B78D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22B9EF9" w14:textId="77777777" w:rsidR="00F23803" w:rsidRDefault="00F23803" w:rsidP="00A9403B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E7E8EF2" w14:textId="77777777" w:rsidR="00F23803" w:rsidRDefault="00F23803" w:rsidP="00A9403B">
            <w:pPr>
              <w:rPr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83EC79D" w14:textId="77777777" w:rsidR="00F23803" w:rsidRDefault="00F23803" w:rsidP="00A9403B">
            <w:pPr>
              <w:rPr>
                <w:color w:val="FFFFFF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B7C8283" w14:textId="77777777" w:rsidR="00F23803" w:rsidRDefault="00F23803" w:rsidP="00A9403B">
            <w:pPr>
              <w:rPr>
                <w:b/>
                <w:bCs/>
                <w:color w:val="000000"/>
              </w:rPr>
            </w:pPr>
          </w:p>
        </w:tc>
      </w:tr>
      <w:tr w:rsidR="00F23803" w14:paraId="1CD197F9" w14:textId="77777777" w:rsidTr="00F23803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9E78C41" w14:textId="77777777" w:rsidR="00F23803" w:rsidRDefault="00F23803" w:rsidP="00A9403B">
            <w:pPr>
              <w:spacing w:before="60" w:after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Likely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62FC66CA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080030AC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0A57EF6F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A892A99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  <w:hideMark/>
          </w:tcPr>
          <w:p w14:paraId="2B340F0B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20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731DC36" w14:textId="77777777" w:rsidR="00F23803" w:rsidRDefault="00F23803" w:rsidP="00A9403B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ED9B479" w14:textId="77777777" w:rsidR="00F23803" w:rsidRDefault="00F23803" w:rsidP="00A9403B">
            <w:pPr>
              <w:rPr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0ED49EB" w14:textId="77777777" w:rsidR="00F23803" w:rsidRDefault="00F23803" w:rsidP="00A9403B">
            <w:pPr>
              <w:rPr>
                <w:color w:val="FFFFFF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A398C8B" w14:textId="77777777" w:rsidR="00F23803" w:rsidRDefault="00F23803" w:rsidP="00A9403B">
            <w:pPr>
              <w:rPr>
                <w:b/>
                <w:bCs/>
                <w:color w:val="000000"/>
              </w:rPr>
            </w:pPr>
          </w:p>
        </w:tc>
      </w:tr>
      <w:tr w:rsidR="00F23803" w14:paraId="48222BAD" w14:textId="77777777" w:rsidTr="00F23803">
        <w:tc>
          <w:tcPr>
            <w:tcW w:w="18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FBFFF61" w14:textId="77777777" w:rsidR="00F23803" w:rsidRDefault="00F23803" w:rsidP="00A9403B">
            <w:pPr>
              <w:spacing w:before="60" w:after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Very likely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73B4F07F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14:paraId="7F7B242E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27F638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21D7F69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  <w:hideMark/>
          </w:tcPr>
          <w:p w14:paraId="00ADBA69" w14:textId="77777777" w:rsidR="00F23803" w:rsidRDefault="00F23803" w:rsidP="00A9403B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25</w:t>
            </w:r>
          </w:p>
        </w:tc>
        <w:tc>
          <w:tcPr>
            <w:tcW w:w="55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3D50AC3" w14:textId="77777777" w:rsidR="00F23803" w:rsidRDefault="00F23803" w:rsidP="00A9403B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F0AB2A8" w14:textId="77777777" w:rsidR="00F23803" w:rsidRDefault="00F23803" w:rsidP="00A9403B">
            <w:pPr>
              <w:rPr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874B7E1" w14:textId="77777777" w:rsidR="00F23803" w:rsidRDefault="00F23803" w:rsidP="00A9403B">
            <w:pPr>
              <w:rPr>
                <w:color w:val="FFFFFF"/>
                <w:szCs w:val="22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0BEF0A1" w14:textId="77777777" w:rsidR="00F23803" w:rsidRDefault="00F23803" w:rsidP="00A9403B">
            <w:pPr>
              <w:rPr>
                <w:b/>
                <w:bCs/>
                <w:color w:val="000000"/>
              </w:rPr>
            </w:pPr>
          </w:p>
        </w:tc>
      </w:tr>
    </w:tbl>
    <w:p w14:paraId="61F267DC" w14:textId="77777777" w:rsidR="00F23803" w:rsidRDefault="00F23803" w:rsidP="00F23803"/>
    <w:tbl>
      <w:tblPr>
        <w:tblW w:w="13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2"/>
        <w:gridCol w:w="3751"/>
        <w:gridCol w:w="3465"/>
      </w:tblGrid>
      <w:tr w:rsidR="00F23803" w14:paraId="0F0FCDEC" w14:textId="77777777" w:rsidTr="2B3EB0FA">
        <w:trPr>
          <w:cantSplit/>
          <w:trHeight w:val="467"/>
        </w:trPr>
        <w:tc>
          <w:tcPr>
            <w:tcW w:w="13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73EDC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sz w:val="40"/>
                <w:u w:val="none"/>
              </w:rPr>
              <w:t xml:space="preserve">Risk Assessment </w:t>
            </w:r>
            <w:r w:rsidR="007102D6">
              <w:rPr>
                <w:rFonts w:ascii="Arial" w:hAnsi="Arial" w:cs="Arial"/>
                <w:sz w:val="40"/>
                <w:u w:val="none"/>
              </w:rPr>
              <w:t xml:space="preserve">(RA) </w:t>
            </w:r>
            <w:r>
              <w:rPr>
                <w:rFonts w:ascii="Arial" w:hAnsi="Arial" w:cs="Arial"/>
                <w:sz w:val="40"/>
                <w:u w:val="none"/>
              </w:rPr>
              <w:t>Record</w:t>
            </w:r>
          </w:p>
          <w:p w14:paraId="7E8352E3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sz w:val="42"/>
                <w:u w:val="none"/>
              </w:rPr>
            </w:pPr>
          </w:p>
        </w:tc>
      </w:tr>
      <w:tr w:rsidR="00F23803" w14:paraId="3BFAE55C" w14:textId="77777777" w:rsidTr="2B3EB0FA">
        <w:trPr>
          <w:cantSplit/>
          <w:trHeight w:val="564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929" w14:textId="4632C045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Risk Assessment Title: </w:t>
            </w:r>
            <w:r w:rsidR="00F05AC1">
              <w:rPr>
                <w:rFonts w:ascii="Arial" w:hAnsi="Arial" w:cs="Arial"/>
                <w:color w:val="000000" w:themeColor="text1"/>
                <w:sz w:val="22"/>
                <w:u w:val="none"/>
              </w:rPr>
              <w:t>Student group events</w:t>
            </w:r>
            <w:r w:rsidR="008B5726" w:rsidRPr="008B5726">
              <w:rPr>
                <w:rFonts w:ascii="Arial" w:hAnsi="Arial" w:cs="Arial"/>
                <w:color w:val="000000" w:themeColor="text1"/>
                <w:sz w:val="22"/>
                <w:u w:val="none"/>
              </w:rPr>
              <w:t>/activities</w:t>
            </w:r>
          </w:p>
          <w:p w14:paraId="0EA9CD1A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24CE" w14:textId="60723687" w:rsidR="00F23803" w:rsidRDefault="00F23803" w:rsidP="477047E5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477047E5"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 xml:space="preserve">Date Produced: </w:t>
            </w:r>
            <w:r w:rsidR="4BCC7F1A" w:rsidRPr="477047E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14 September</w:t>
            </w:r>
            <w:r w:rsidRPr="477047E5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2020</w:t>
            </w:r>
          </w:p>
          <w:p w14:paraId="3C46BBD1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179F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Review Date: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30 October 2020</w:t>
            </w:r>
          </w:p>
          <w:p w14:paraId="18B6E84F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</w:tr>
      <w:tr w:rsidR="00F23803" w14:paraId="3AC04114" w14:textId="77777777" w:rsidTr="2B3EB0FA">
        <w:trPr>
          <w:cantSplit/>
          <w:trHeight w:val="696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C46A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Overview/Description of Activity: </w:t>
            </w:r>
          </w:p>
          <w:p w14:paraId="13A4EB54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</w:p>
        </w:tc>
        <w:tc>
          <w:tcPr>
            <w:tcW w:w="7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C0AB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2"/>
                <w:u w:val="none"/>
              </w:rPr>
              <w:t>Duration/Frequency of Activity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  <w:t>:</w:t>
            </w:r>
          </w:p>
        </w:tc>
      </w:tr>
      <w:tr w:rsidR="00F23803" w14:paraId="2E058697" w14:textId="77777777" w:rsidTr="2B3EB0FA">
        <w:trPr>
          <w:cantSplit/>
          <w:trHeight w:val="726"/>
        </w:trPr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77C0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>Location of Activity:</w:t>
            </w:r>
          </w:p>
        </w:tc>
        <w:tc>
          <w:tcPr>
            <w:tcW w:w="7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8A2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u w:val="none"/>
              </w:rPr>
              <w:t xml:space="preserve">Generic or Specific Assessment: </w:t>
            </w:r>
            <w:r>
              <w:rPr>
                <w:rFonts w:ascii="Arial" w:hAnsi="Arial" w:cs="Arial"/>
                <w:b w:val="0"/>
                <w:color w:val="000000" w:themeColor="text1"/>
                <w:sz w:val="22"/>
                <w:u w:val="none"/>
              </w:rPr>
              <w:t>Generic – to be tailored by owner and read in conjunction with existing task risk assessments</w:t>
            </w:r>
          </w:p>
          <w:p w14:paraId="304A50AB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u w:val="none"/>
              </w:rPr>
            </w:pPr>
          </w:p>
        </w:tc>
      </w:tr>
      <w:tr w:rsidR="00F23803" w14:paraId="39690448" w14:textId="77777777" w:rsidTr="2B3EB0FA">
        <w:trPr>
          <w:cantSplit/>
          <w:trHeight w:val="726"/>
        </w:trPr>
        <w:tc>
          <w:tcPr>
            <w:tcW w:w="1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0919DC" w14:textId="77777777" w:rsidR="00F23803" w:rsidRPr="00055EE7" w:rsidRDefault="00F23803" w:rsidP="00F23803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055EE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In the absence of other advice,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students </w:t>
            </w:r>
            <w:r w:rsidRPr="00055EE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of the University should follow </w:t>
            </w:r>
            <w:hyperlink r:id="rId11" w:history="1">
              <w:r w:rsidRPr="00055EE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Government guidance</w:t>
              </w:r>
            </w:hyperlink>
          </w:p>
          <w:p w14:paraId="6931DFF1" w14:textId="77777777" w:rsidR="00F23803" w:rsidRDefault="00F23803" w:rsidP="00F23803">
            <w:pPr>
              <w:pStyle w:val="Title"/>
              <w:ind w:left="0"/>
              <w:outlineLvl w:val="0"/>
              <w:rPr>
                <w:rFonts w:ascii="Arial" w:hAnsi="Arial" w:cs="Arial"/>
                <w:color w:val="000000" w:themeColor="text1"/>
                <w:sz w:val="22"/>
                <w:u w:val="none"/>
              </w:rPr>
            </w:pPr>
            <w:r w:rsidRPr="00055EE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which is based upon expert input from Public Health England and the Department of Health</w:t>
            </w:r>
          </w:p>
        </w:tc>
      </w:tr>
      <w:tr w:rsidR="00F23803" w14:paraId="0B0792F6" w14:textId="77777777" w:rsidTr="2B3EB0FA">
        <w:trPr>
          <w:cantSplit/>
          <w:trHeight w:val="726"/>
        </w:trPr>
        <w:tc>
          <w:tcPr>
            <w:tcW w:w="1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D60EEF" w14:textId="77777777" w:rsidR="00F23803" w:rsidRPr="00055EE7" w:rsidRDefault="00F23803" w:rsidP="00F23803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055EE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OVID</w:t>
            </w:r>
            <w:r w:rsidRPr="00055EE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19 is a </w:t>
            </w:r>
            <w:r w:rsidRPr="00055EE7">
              <w:rPr>
                <w:rFonts w:asciiTheme="minorHAnsi" w:hAnsiTheme="minorHAnsi" w:cstheme="minorHAnsi"/>
                <w:sz w:val="22"/>
                <w:szCs w:val="22"/>
                <w:u w:val="none"/>
              </w:rPr>
              <w:t>new illness that can affect your lungs and airways. It is caused by a virus called Coronavirus. Symptoms can be mild, moderate, severe or fatal. For the purposes of our overarching assessment we have assessed that the foreseeable severity as being “serious”</w:t>
            </w:r>
          </w:p>
        </w:tc>
      </w:tr>
      <w:tr w:rsidR="2B3EB0FA" w14:paraId="7D1E9F2D" w14:textId="77777777" w:rsidTr="2B3EB0FA">
        <w:trPr>
          <w:cantSplit/>
          <w:trHeight w:val="726"/>
        </w:trPr>
        <w:tc>
          <w:tcPr>
            <w:tcW w:w="1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7DFB7F" w14:textId="5CC6626A" w:rsidR="7E1F202C" w:rsidRDefault="7E1F202C" w:rsidP="2B3EB0FA">
            <w:pPr>
              <w:pStyle w:val="Title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none"/>
              </w:rPr>
            </w:pPr>
            <w:r w:rsidRPr="2B3EB0FA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none"/>
              </w:rPr>
              <w:t xml:space="preserve">Additional COVID control/actions </w:t>
            </w:r>
            <w:r w:rsidR="4C56CFC1" w:rsidRPr="2B3EB0FA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none"/>
              </w:rPr>
              <w:t>will need to be impleme</w:t>
            </w:r>
            <w:r w:rsidR="4FF810FB" w:rsidRPr="2B3EB0FA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none"/>
              </w:rPr>
              <w:t xml:space="preserve">nted in order </w:t>
            </w:r>
            <w:r w:rsidR="4C56CFC1" w:rsidRPr="2B3EB0FA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none"/>
              </w:rPr>
              <w:t>help to reduce the likelihood of the hazard occurring</w:t>
            </w:r>
            <w:r w:rsidR="4B241ECA" w:rsidRPr="2B3EB0FA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none"/>
              </w:rPr>
              <w:t xml:space="preserve">. Event organisers should assume that all actions </w:t>
            </w:r>
            <w:r w:rsidR="7CDC0921" w:rsidRPr="2B3EB0FA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none"/>
              </w:rPr>
              <w:t>MUST</w:t>
            </w:r>
            <w:r w:rsidR="4B241ECA" w:rsidRPr="2B3EB0FA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none"/>
              </w:rPr>
              <w:t xml:space="preserve"> be undertaken</w:t>
            </w:r>
            <w:r w:rsidR="530C9D99" w:rsidRPr="2B3EB0FA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none"/>
              </w:rPr>
              <w:t>.</w:t>
            </w:r>
            <w:r w:rsidR="4B241ECA" w:rsidRPr="2B3EB0FA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</w:tc>
      </w:tr>
    </w:tbl>
    <w:p w14:paraId="3C9D9A52" w14:textId="77777777" w:rsidR="00F23803" w:rsidRDefault="00F23803" w:rsidP="00F23803"/>
    <w:p w14:paraId="0536030D" w14:textId="77777777" w:rsidR="00F23803" w:rsidRDefault="00F23803" w:rsidP="00F23803"/>
    <w:p w14:paraId="4FDB594D" w14:textId="2A53A497" w:rsidR="00E54094" w:rsidRPr="00E54094" w:rsidRDefault="00E45604" w:rsidP="00E54094">
      <w:pPr>
        <w:jc w:val="center"/>
        <w:rPr>
          <w:rStyle w:val="Hyperlink"/>
          <w:color w:val="auto"/>
          <w:sz w:val="28"/>
          <w:szCs w:val="28"/>
          <w:u w:val="none"/>
        </w:rPr>
      </w:pPr>
      <w:r w:rsidRPr="00E54094">
        <w:rPr>
          <w:rStyle w:val="Hyperlink"/>
          <w:color w:val="auto"/>
          <w:sz w:val="28"/>
          <w:szCs w:val="28"/>
          <w:u w:val="none"/>
        </w:rPr>
        <w:t>University</w:t>
      </w:r>
      <w:r w:rsidR="00E54094" w:rsidRPr="00E54094">
        <w:rPr>
          <w:rStyle w:val="Hyperlink"/>
          <w:color w:val="auto"/>
          <w:sz w:val="28"/>
          <w:szCs w:val="28"/>
          <w:u w:val="none"/>
        </w:rPr>
        <w:t xml:space="preserve"> of Bath Golf Society</w:t>
      </w:r>
      <w:r w:rsidR="00E54094" w:rsidRPr="00E54094">
        <w:rPr>
          <w:rStyle w:val="Hyperlink"/>
          <w:color w:val="auto"/>
          <w:sz w:val="28"/>
          <w:szCs w:val="28"/>
          <w:u w:val="none"/>
        </w:rPr>
        <w:t xml:space="preserve"> will follow the University and DSDR Covid guidance</w:t>
      </w:r>
    </w:p>
    <w:p w14:paraId="2CFDB49E" w14:textId="77777777" w:rsidR="00E54094" w:rsidRPr="00E54094" w:rsidRDefault="00E54094" w:rsidP="00E54094">
      <w:pPr>
        <w:jc w:val="center"/>
        <w:rPr>
          <w:rStyle w:val="Hyperlink"/>
          <w:color w:val="auto"/>
          <w:sz w:val="28"/>
          <w:szCs w:val="28"/>
          <w:u w:val="none"/>
        </w:rPr>
      </w:pPr>
    </w:p>
    <w:p w14:paraId="041FB33D" w14:textId="1176A4E5" w:rsidR="00F23803" w:rsidRPr="00E54094" w:rsidRDefault="00E45604" w:rsidP="00E54094">
      <w:pPr>
        <w:jc w:val="center"/>
        <w:rPr>
          <w:rStyle w:val="Hyperlink"/>
          <w:color w:val="auto"/>
          <w:sz w:val="28"/>
          <w:szCs w:val="28"/>
          <w:u w:val="none"/>
        </w:rPr>
      </w:pPr>
      <w:r w:rsidRPr="00E54094">
        <w:rPr>
          <w:rStyle w:val="Hyperlink"/>
          <w:color w:val="auto"/>
          <w:sz w:val="28"/>
          <w:szCs w:val="28"/>
          <w:u w:val="none"/>
        </w:rPr>
        <w:t>University</w:t>
      </w:r>
      <w:r w:rsidR="00E54094" w:rsidRPr="00E54094">
        <w:rPr>
          <w:rStyle w:val="Hyperlink"/>
          <w:color w:val="auto"/>
          <w:sz w:val="28"/>
          <w:szCs w:val="28"/>
          <w:u w:val="none"/>
        </w:rPr>
        <w:t xml:space="preserve"> of Bath Golf Society will adhere to any facility capacity restriction for the facilities they are using</w:t>
      </w:r>
    </w:p>
    <w:p w14:paraId="0EC3C2B3" w14:textId="5A6D6F90" w:rsidR="3BAB2DC8" w:rsidRDefault="3BAB2DC8" w:rsidP="3BAB2DC8">
      <w:pPr>
        <w:rPr>
          <w:rStyle w:val="Hyperlink"/>
          <w:sz w:val="28"/>
          <w:szCs w:val="28"/>
        </w:rPr>
      </w:pPr>
    </w:p>
    <w:p w14:paraId="04902370" w14:textId="49AA5863" w:rsidR="3BAB2DC8" w:rsidRDefault="3BAB2DC8" w:rsidP="3BAB2DC8">
      <w:pPr>
        <w:rPr>
          <w:rStyle w:val="Hyperlink"/>
          <w:sz w:val="28"/>
          <w:szCs w:val="28"/>
        </w:rPr>
      </w:pPr>
    </w:p>
    <w:p w14:paraId="4B0768FB" w14:textId="046A10F8" w:rsidR="3BAB2DC8" w:rsidRDefault="3BAB2DC8" w:rsidP="3BAB2DC8">
      <w:pPr>
        <w:rPr>
          <w:rStyle w:val="Hyperlink"/>
          <w:sz w:val="28"/>
          <w:szCs w:val="28"/>
        </w:rPr>
      </w:pPr>
    </w:p>
    <w:p w14:paraId="0B7E4BD1" w14:textId="2BE66395" w:rsidR="3BAB2DC8" w:rsidRDefault="3BAB2DC8" w:rsidP="3BAB2DC8">
      <w:pPr>
        <w:rPr>
          <w:rStyle w:val="Hyperlink"/>
          <w:sz w:val="28"/>
          <w:szCs w:val="28"/>
        </w:rPr>
      </w:pPr>
    </w:p>
    <w:p w14:paraId="4F2BD066" w14:textId="77777777" w:rsidR="00F23803" w:rsidRDefault="00F23803" w:rsidP="00F23803"/>
    <w:tbl>
      <w:tblPr>
        <w:tblpPr w:leftFromText="180" w:rightFromText="180" w:vertAnchor="text" w:tblpX="-431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108"/>
        <w:gridCol w:w="2232"/>
        <w:gridCol w:w="2611"/>
        <w:gridCol w:w="1095"/>
        <w:gridCol w:w="1116"/>
        <w:gridCol w:w="1186"/>
        <w:gridCol w:w="4350"/>
      </w:tblGrid>
      <w:tr w:rsidR="00CC510F" w14:paraId="1BDA0FF1" w14:textId="77777777" w:rsidTr="00E54094">
        <w:trPr>
          <w:cantSplit/>
          <w:trHeight w:val="577"/>
          <w:tblHeader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EE6BD75" w14:textId="77777777" w:rsidR="00F23803" w:rsidRDefault="00F23803" w:rsidP="00E54094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lastRenderedPageBreak/>
              <w:t>#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4FF1AA1" w14:textId="77777777" w:rsidR="00F23803" w:rsidRDefault="00F23803" w:rsidP="00E54094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Hazard(s) identified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AD6642" w14:textId="77777777" w:rsidR="00F23803" w:rsidRDefault="00F23803" w:rsidP="00E54094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Who might be affected</w:t>
            </w:r>
            <w:r>
              <w:rPr>
                <w:rFonts w:ascii="Arial" w:hAnsi="Arial" w:cs="Arial"/>
                <w:sz w:val="20"/>
                <w:u w:val="none"/>
              </w:rPr>
              <w:br/>
              <w:t>and how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C38CEA9" w14:textId="77777777" w:rsidR="00F23803" w:rsidRDefault="00F23803" w:rsidP="00E54094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Existing controls &amp; measures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A5D1DAF" w14:textId="77777777" w:rsidR="00F23803" w:rsidRDefault="00F23803" w:rsidP="00E54094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Severity </w:t>
            </w:r>
            <w:r>
              <w:rPr>
                <w:rFonts w:ascii="Arial" w:hAnsi="Arial" w:cs="Arial"/>
                <w:sz w:val="20"/>
                <w:u w:val="none"/>
              </w:rPr>
              <w:t>(a)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14898D1" w14:textId="77777777" w:rsidR="00F23803" w:rsidRDefault="00F23803" w:rsidP="00E54094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Likelihood </w:t>
            </w:r>
            <w:r>
              <w:rPr>
                <w:rFonts w:ascii="Arial" w:hAnsi="Arial" w:cs="Arial"/>
                <w:sz w:val="20"/>
                <w:u w:val="none"/>
              </w:rPr>
              <w:t>(b)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91B6664" w14:textId="77777777" w:rsidR="00F23803" w:rsidRDefault="00F23803" w:rsidP="00E54094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 xml:space="preserve">Risk Rating </w:t>
            </w:r>
            <w:r>
              <w:rPr>
                <w:rFonts w:ascii="Arial" w:hAnsi="Arial" w:cs="Arial"/>
                <w:sz w:val="20"/>
                <w:u w:val="none"/>
              </w:rPr>
              <w:br/>
              <w:t>(a x b)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B33C359" w14:textId="77777777" w:rsidR="00F23803" w:rsidRDefault="00F23803" w:rsidP="00E54094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Additional control/action required</w:t>
            </w:r>
          </w:p>
        </w:tc>
      </w:tr>
      <w:tr w:rsidR="00F23803" w14:paraId="47520FA1" w14:textId="77777777" w:rsidTr="00E54094">
        <w:trPr>
          <w:cantSplit/>
          <w:trHeight w:val="37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7A24587" w14:textId="77777777" w:rsidR="00F23803" w:rsidRDefault="00F23803" w:rsidP="00E54094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bookmarkStart w:id="0" w:name="A"/>
            <w: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SECTION 1: </w:t>
            </w:r>
            <w:r w:rsidRPr="00F23803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General COVID 19 guidelines</w:t>
            </w:r>
            <w:bookmarkEnd w:id="0"/>
          </w:p>
        </w:tc>
      </w:tr>
      <w:tr w:rsidR="00CC510F" w14:paraId="135C6FCA" w14:textId="77777777" w:rsidTr="00E54094">
        <w:trPr>
          <w:cantSplit/>
          <w:trHeight w:val="3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672F" w14:textId="77777777" w:rsidR="3B575F51" w:rsidRDefault="3B575F51" w:rsidP="00E54094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BCB" w14:textId="77777777" w:rsidR="4E32F132" w:rsidRPr="00883CD7" w:rsidRDefault="00883CD7" w:rsidP="00E54094">
            <w:pPr>
              <w:rPr>
                <w:sz w:val="20"/>
                <w:szCs w:val="20"/>
              </w:rPr>
            </w:pPr>
            <w:r w:rsidRPr="00883CD7">
              <w:rPr>
                <w:sz w:val="20"/>
                <w:szCs w:val="20"/>
              </w:rPr>
              <w:t>Poor e</w:t>
            </w:r>
            <w:r w:rsidR="4E32F132" w:rsidRPr="00883CD7">
              <w:rPr>
                <w:sz w:val="20"/>
                <w:szCs w:val="20"/>
              </w:rPr>
              <w:t xml:space="preserve">vent or activity </w:t>
            </w:r>
            <w:r w:rsidRPr="00883CD7">
              <w:rPr>
                <w:sz w:val="20"/>
                <w:szCs w:val="20"/>
              </w:rPr>
              <w:t xml:space="preserve">management </w:t>
            </w:r>
            <w:r w:rsidR="4E32F132" w:rsidRPr="00883CD7">
              <w:rPr>
                <w:sz w:val="20"/>
                <w:szCs w:val="20"/>
              </w:rPr>
              <w:t>leads to transmission of COVID-19 virus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7CCA" w14:textId="77777777" w:rsidR="4E32F132" w:rsidRPr="00883CD7" w:rsidRDefault="4E32F132" w:rsidP="00E54094">
            <w:pPr>
              <w:rPr>
                <w:sz w:val="20"/>
                <w:szCs w:val="20"/>
              </w:rPr>
            </w:pPr>
            <w:r w:rsidRPr="00883CD7">
              <w:rPr>
                <w:sz w:val="20"/>
                <w:szCs w:val="20"/>
              </w:rPr>
              <w:t>Any person taking part in the activity</w:t>
            </w:r>
          </w:p>
          <w:p w14:paraId="14494D9E" w14:textId="77777777" w:rsidR="3B575F51" w:rsidRPr="00883CD7" w:rsidRDefault="3B575F51" w:rsidP="00E54094">
            <w:pPr>
              <w:rPr>
                <w:sz w:val="20"/>
                <w:szCs w:val="20"/>
              </w:rPr>
            </w:pPr>
          </w:p>
          <w:p w14:paraId="5B336004" w14:textId="77777777" w:rsidR="4E32F132" w:rsidRDefault="4E32F132" w:rsidP="00E54094">
            <w:pPr>
              <w:rPr>
                <w:sz w:val="20"/>
                <w:szCs w:val="20"/>
              </w:rPr>
            </w:pPr>
            <w:r w:rsidRPr="00883CD7">
              <w:rPr>
                <w:sz w:val="20"/>
                <w:szCs w:val="20"/>
              </w:rPr>
              <w:t xml:space="preserve">SU </w:t>
            </w:r>
            <w:r w:rsidR="00F05AC1" w:rsidRPr="00883CD7">
              <w:rPr>
                <w:sz w:val="20"/>
                <w:szCs w:val="20"/>
              </w:rPr>
              <w:t>reputation through press or stakeholder reaction</w:t>
            </w:r>
          </w:p>
          <w:p w14:paraId="5CF76D71" w14:textId="77777777" w:rsidR="00DE7018" w:rsidRDefault="00DE7018" w:rsidP="00E54094">
            <w:pPr>
              <w:rPr>
                <w:sz w:val="20"/>
                <w:szCs w:val="20"/>
              </w:rPr>
            </w:pPr>
          </w:p>
          <w:p w14:paraId="1B2E68C9" w14:textId="77777777" w:rsidR="00DE7018" w:rsidRPr="00883CD7" w:rsidRDefault="00DE7018" w:rsidP="00E5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Loss of income/activity due to additional restrictions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AD9A" w14:textId="2BF237C3" w:rsidR="4E32F132" w:rsidRPr="00BC47FC" w:rsidRDefault="24F74CAD" w:rsidP="00E54094">
            <w:pPr>
              <w:pStyle w:val="ListParagraph"/>
              <w:numPr>
                <w:ilvl w:val="0"/>
                <w:numId w:val="38"/>
              </w:numPr>
              <w:ind w:left="126" w:hanging="142"/>
              <w:rPr>
                <w:rFonts w:ascii="Arial" w:eastAsia="Arial" w:hAnsi="Arial" w:cs="Arial"/>
                <w:sz w:val="20"/>
                <w:szCs w:val="20"/>
              </w:rPr>
            </w:pPr>
            <w:r w:rsidRPr="477047E5">
              <w:rPr>
                <w:rFonts w:ascii="Arial" w:eastAsia="Arial" w:hAnsi="Arial" w:cs="Arial"/>
                <w:sz w:val="20"/>
                <w:szCs w:val="20"/>
              </w:rPr>
              <w:t xml:space="preserve">SU </w:t>
            </w:r>
            <w:r w:rsidR="6DC9E019" w:rsidRPr="477047E5">
              <w:rPr>
                <w:rFonts w:ascii="Arial" w:eastAsia="Arial" w:hAnsi="Arial" w:cs="Arial"/>
                <w:sz w:val="20"/>
                <w:szCs w:val="20"/>
              </w:rPr>
              <w:t>Event planner</w:t>
            </w:r>
            <w:r w:rsidR="01CDFFF2" w:rsidRPr="477047E5">
              <w:rPr>
                <w:rFonts w:ascii="Arial" w:eastAsia="Arial" w:hAnsi="Arial" w:cs="Arial"/>
                <w:sz w:val="20"/>
                <w:szCs w:val="20"/>
              </w:rPr>
              <w:t xml:space="preserve"> to be completed</w:t>
            </w:r>
            <w:r w:rsidR="00F05AC1" w:rsidRPr="477047E5">
              <w:rPr>
                <w:rFonts w:ascii="Arial" w:eastAsia="Arial" w:hAnsi="Arial" w:cs="Arial"/>
                <w:sz w:val="20"/>
                <w:szCs w:val="20"/>
              </w:rPr>
              <w:t xml:space="preserve"> for all events, including event</w:t>
            </w:r>
            <w:r w:rsidR="5814FF7C" w:rsidRPr="477047E5">
              <w:rPr>
                <w:rFonts w:ascii="Arial" w:eastAsia="Arial" w:hAnsi="Arial" w:cs="Arial"/>
                <w:sz w:val="20"/>
                <w:szCs w:val="20"/>
              </w:rPr>
              <w:t>-specific</w:t>
            </w:r>
            <w:r w:rsidR="00F05AC1" w:rsidRPr="477047E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69F8DEF2" w:rsidRPr="477047E5">
              <w:rPr>
                <w:rFonts w:ascii="Arial" w:eastAsia="Arial" w:hAnsi="Arial" w:cs="Arial"/>
                <w:sz w:val="20"/>
                <w:szCs w:val="20"/>
              </w:rPr>
              <w:t>Risk Assessment (</w:t>
            </w:r>
            <w:r w:rsidR="00F05AC1" w:rsidRPr="477047E5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="7311E091" w:rsidRPr="477047E5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="5814FF7C" w:rsidRPr="477047E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9EECAD6" w14:textId="5D7CDC3E" w:rsidR="1ED5CB33" w:rsidRPr="00BC47FC" w:rsidRDefault="00F05AC1" w:rsidP="00E54094">
            <w:pPr>
              <w:pStyle w:val="ListParagraph"/>
              <w:numPr>
                <w:ilvl w:val="0"/>
                <w:numId w:val="38"/>
              </w:numPr>
              <w:ind w:left="126" w:hanging="142"/>
              <w:rPr>
                <w:rFonts w:ascii="Arial" w:eastAsia="Arial" w:hAnsi="Arial" w:cs="Arial"/>
                <w:sz w:val="20"/>
                <w:szCs w:val="20"/>
              </w:rPr>
            </w:pPr>
            <w:r w:rsidRPr="477047E5">
              <w:rPr>
                <w:rFonts w:ascii="Arial" w:eastAsia="Arial" w:hAnsi="Arial" w:cs="Arial"/>
                <w:sz w:val="20"/>
                <w:szCs w:val="20"/>
              </w:rPr>
              <w:t>Any i</w:t>
            </w:r>
            <w:r w:rsidR="5DE9E4BC" w:rsidRPr="477047E5">
              <w:rPr>
                <w:rFonts w:ascii="Arial" w:eastAsia="Arial" w:hAnsi="Arial" w:cs="Arial"/>
                <w:sz w:val="20"/>
                <w:szCs w:val="20"/>
              </w:rPr>
              <w:t>ncidents/</w:t>
            </w:r>
            <w:r w:rsidRPr="477047E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5DE9E4BC" w:rsidRPr="477047E5">
              <w:rPr>
                <w:rFonts w:ascii="Arial" w:eastAsia="Arial" w:hAnsi="Arial" w:cs="Arial"/>
                <w:sz w:val="20"/>
                <w:szCs w:val="20"/>
              </w:rPr>
              <w:t>concerns  policies not being followe</w:t>
            </w:r>
            <w:r w:rsidR="3BC4FD00" w:rsidRPr="477047E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51991E04" w:rsidRPr="477047E5">
              <w:rPr>
                <w:rFonts w:ascii="Arial" w:eastAsia="Arial" w:hAnsi="Arial" w:cs="Arial"/>
                <w:sz w:val="20"/>
                <w:szCs w:val="20"/>
              </w:rPr>
              <w:t xml:space="preserve"> then notify University Security by either calling </w:t>
            </w:r>
            <w:r w:rsidR="51991E04" w:rsidRPr="477047E5">
              <w:rPr>
                <w:rFonts w:ascii="Arial" w:eastAsia="Arial" w:hAnsi="Arial" w:cs="Arial"/>
                <w:color w:val="202329"/>
                <w:sz w:val="20"/>
                <w:szCs w:val="20"/>
              </w:rPr>
              <w:t xml:space="preserve">01225 385349 ( </w:t>
            </w:r>
            <w:proofErr w:type="spellStart"/>
            <w:r w:rsidR="51991E04" w:rsidRPr="477047E5">
              <w:rPr>
                <w:rFonts w:ascii="Arial" w:eastAsia="Arial" w:hAnsi="Arial" w:cs="Arial"/>
                <w:color w:val="202329"/>
                <w:sz w:val="20"/>
                <w:szCs w:val="20"/>
              </w:rPr>
              <w:t>ext</w:t>
            </w:r>
            <w:proofErr w:type="spellEnd"/>
            <w:r w:rsidR="51991E04" w:rsidRPr="477047E5">
              <w:rPr>
                <w:rFonts w:ascii="Arial" w:eastAsia="Arial" w:hAnsi="Arial" w:cs="Arial"/>
                <w:color w:val="202329"/>
                <w:sz w:val="20"/>
                <w:szCs w:val="20"/>
              </w:rPr>
              <w:t xml:space="preserve"> 5349 if using an internal phone) or call in to speak to them at the Library front desk</w:t>
            </w:r>
          </w:p>
          <w:p w14:paraId="7B37A1C9" w14:textId="2046975B" w:rsidR="00F14C94" w:rsidRPr="00F14C94" w:rsidRDefault="6DDEB45F" w:rsidP="00E54094">
            <w:pPr>
              <w:pStyle w:val="ListParagraph"/>
              <w:numPr>
                <w:ilvl w:val="0"/>
                <w:numId w:val="38"/>
              </w:numPr>
              <w:ind w:left="126" w:hanging="142"/>
              <w:rPr>
                <w:rFonts w:ascii="Arial" w:hAnsi="Arial" w:cs="Arial"/>
                <w:sz w:val="20"/>
                <w:szCs w:val="20"/>
              </w:rPr>
            </w:pPr>
            <w:r w:rsidRPr="00BC47FC">
              <w:rPr>
                <w:rFonts w:ascii="Arial" w:eastAsia="Arial" w:hAnsi="Arial" w:cs="Arial"/>
                <w:color w:val="202329"/>
                <w:sz w:val="20"/>
                <w:szCs w:val="20"/>
              </w:rPr>
              <w:t>If first aid is required then contact Security using the above methods</w:t>
            </w:r>
          </w:p>
          <w:p w14:paraId="4F2930EF" w14:textId="21D9771C" w:rsidR="00F14C94" w:rsidRDefault="00F14C94" w:rsidP="00E54094">
            <w:pPr>
              <w:rPr>
                <w:rFonts w:eastAsia="PMingLiU"/>
                <w:sz w:val="20"/>
                <w:szCs w:val="20"/>
              </w:rPr>
            </w:pPr>
          </w:p>
          <w:p w14:paraId="2EBB3FAB" w14:textId="60865C6F" w:rsidR="006C40EB" w:rsidRDefault="006C40EB" w:rsidP="00E54094">
            <w:pPr>
              <w:rPr>
                <w:rFonts w:eastAsia="PMingLiU"/>
                <w:sz w:val="20"/>
                <w:szCs w:val="20"/>
              </w:rPr>
            </w:pPr>
          </w:p>
          <w:p w14:paraId="1D94FBF2" w14:textId="779242C9" w:rsidR="006C40EB" w:rsidRDefault="006C40EB" w:rsidP="00E54094">
            <w:pPr>
              <w:rPr>
                <w:rFonts w:eastAsia="PMingLiU"/>
                <w:sz w:val="20"/>
                <w:szCs w:val="20"/>
              </w:rPr>
            </w:pPr>
          </w:p>
          <w:p w14:paraId="41190AFC" w14:textId="78C74A06" w:rsidR="006C40EB" w:rsidRDefault="006C40EB" w:rsidP="00E54094">
            <w:pPr>
              <w:rPr>
                <w:rFonts w:eastAsia="PMingLiU"/>
                <w:sz w:val="20"/>
                <w:szCs w:val="20"/>
              </w:rPr>
            </w:pPr>
          </w:p>
          <w:p w14:paraId="106FB847" w14:textId="28FD2515" w:rsidR="006C40EB" w:rsidRDefault="006C40EB" w:rsidP="00E54094">
            <w:pPr>
              <w:rPr>
                <w:rFonts w:eastAsia="PMingLiU"/>
                <w:sz w:val="20"/>
                <w:szCs w:val="20"/>
              </w:rPr>
            </w:pPr>
          </w:p>
          <w:p w14:paraId="12844D54" w14:textId="789759EB" w:rsidR="006C40EB" w:rsidRDefault="006C40EB" w:rsidP="00E54094">
            <w:pPr>
              <w:rPr>
                <w:rFonts w:eastAsia="PMingLiU"/>
                <w:sz w:val="20"/>
                <w:szCs w:val="20"/>
              </w:rPr>
            </w:pPr>
          </w:p>
          <w:p w14:paraId="6161745F" w14:textId="72BA3ED8" w:rsidR="006C40EB" w:rsidRDefault="006C40EB" w:rsidP="00E54094">
            <w:pPr>
              <w:rPr>
                <w:rFonts w:eastAsia="PMingLiU"/>
                <w:sz w:val="20"/>
                <w:szCs w:val="20"/>
              </w:rPr>
            </w:pPr>
          </w:p>
          <w:p w14:paraId="6E09D89B" w14:textId="0AC7A122" w:rsidR="006C40EB" w:rsidRDefault="006C40EB" w:rsidP="00E54094">
            <w:pPr>
              <w:rPr>
                <w:rFonts w:eastAsia="PMingLiU"/>
                <w:sz w:val="20"/>
                <w:szCs w:val="20"/>
              </w:rPr>
            </w:pPr>
          </w:p>
          <w:p w14:paraId="277D3B58" w14:textId="0A5A55F8" w:rsidR="006C40EB" w:rsidRDefault="006C40EB" w:rsidP="00E54094">
            <w:pPr>
              <w:rPr>
                <w:rFonts w:eastAsia="PMingLiU"/>
                <w:sz w:val="20"/>
                <w:szCs w:val="20"/>
              </w:rPr>
            </w:pPr>
          </w:p>
          <w:p w14:paraId="6DA0390E" w14:textId="59F8AE45" w:rsidR="00F14C94" w:rsidRPr="00F14C94" w:rsidRDefault="00F14C94" w:rsidP="00E54094">
            <w:pPr>
              <w:rPr>
                <w:rFonts w:eastAsia="PMingLiU"/>
                <w:sz w:val="20"/>
                <w:szCs w:val="20"/>
              </w:rPr>
            </w:pPr>
          </w:p>
          <w:p w14:paraId="19A6C9BA" w14:textId="7E03C048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16BB846E" w14:textId="62289DEA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6F65030E" w14:textId="458ACC89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50A393A0" w14:textId="04174D89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159DF017" w14:textId="34DD1966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46C4F526" w14:textId="3ED490EC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18839AB2" w14:textId="31FF83F9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23C99036" w14:textId="285E3FAF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7838A471" w14:textId="4CF87EA1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698CD7F5" w14:textId="610BA5C9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54A6B7B3" w14:textId="48A4C95C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0E3557F0" w14:textId="4B508B9B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06F5BD51" w14:textId="360FFF4E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17BD42F2" w14:textId="2F2E0E1D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244AD537" w14:textId="1911DF91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02972A80" w14:textId="61C43E78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18C2BB1E" w14:textId="7B1D5431" w:rsidR="00828E3F" w:rsidRDefault="00828E3F" w:rsidP="00E54094">
            <w:pPr>
              <w:rPr>
                <w:rFonts w:eastAsia="PMingLiU"/>
                <w:sz w:val="20"/>
                <w:szCs w:val="20"/>
              </w:rPr>
            </w:pPr>
          </w:p>
          <w:p w14:paraId="63D89058" w14:textId="4F1275D8" w:rsidR="7542BCC6" w:rsidRDefault="7542BCC6" w:rsidP="00E54094">
            <w:pPr>
              <w:rPr>
                <w:rFonts w:eastAsia="PMingLiU"/>
                <w:sz w:val="20"/>
                <w:szCs w:val="20"/>
              </w:rPr>
            </w:pPr>
          </w:p>
          <w:p w14:paraId="2BFB3FAE" w14:textId="0AA6009E" w:rsidR="7542BCC6" w:rsidRDefault="7542BCC6" w:rsidP="00E54094">
            <w:pPr>
              <w:rPr>
                <w:rFonts w:eastAsia="PMingLiU"/>
                <w:sz w:val="20"/>
                <w:szCs w:val="20"/>
              </w:rPr>
            </w:pPr>
          </w:p>
          <w:p w14:paraId="528485AF" w14:textId="423423D7" w:rsidR="006C40EB" w:rsidRDefault="006C40EB" w:rsidP="00E5409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542BCC6">
              <w:rPr>
                <w:rFonts w:ascii="Arial" w:eastAsia="Arial" w:hAnsi="Arial" w:cs="Arial"/>
                <w:sz w:val="20"/>
                <w:szCs w:val="20"/>
              </w:rPr>
              <w:t xml:space="preserve">Card readers ordered from SU Finance – </w:t>
            </w:r>
            <w:hyperlink r:id="rId12">
              <w:r w:rsidRPr="7542BCC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sufinance@bath.ac.uk</w:t>
              </w:r>
            </w:hyperlink>
          </w:p>
          <w:p w14:paraId="49CCE5DF" w14:textId="49CBAEB4" w:rsidR="3B575F51" w:rsidRDefault="3B575F51" w:rsidP="00E5409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5C6" w14:textId="77777777" w:rsidR="3B575F51" w:rsidRDefault="1D69A0DB" w:rsidP="00E54094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291ABA5C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1DFF" w14:textId="77777777" w:rsidR="3B575F51" w:rsidRDefault="1D69A0DB" w:rsidP="00E54094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291ABA5C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9D26" w14:textId="77777777" w:rsidR="3B575F51" w:rsidRDefault="1D69A0DB" w:rsidP="00E54094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291ABA5C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88A8" w14:textId="77777777" w:rsidR="00883CD7" w:rsidRPr="000132A4" w:rsidRDefault="00883CD7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0132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All </w:t>
            </w:r>
            <w:r w:rsidR="000132A4" w:rsidRPr="000132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those planning </w:t>
            </w:r>
            <w:r w:rsidRPr="000132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event/activity to complete MANDATORY H&amp;S training</w:t>
            </w:r>
          </w:p>
          <w:p w14:paraId="5149644E" w14:textId="77777777" w:rsidR="00BC47FC" w:rsidRPr="000132A4" w:rsidRDefault="00883CD7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0132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Groups instructed to meet online wherever possible to reduce need for in-person meeting</w:t>
            </w:r>
          </w:p>
          <w:p w14:paraId="0799E4EC" w14:textId="77777777" w:rsidR="00BC47FC" w:rsidRPr="000132A4" w:rsidRDefault="00BC47FC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</w:pPr>
            <w:r w:rsidRPr="000132A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RA completed in Event Planner to </w:t>
            </w:r>
            <w:r w:rsidRPr="000132A4">
              <w:rPr>
                <w:rFonts w:ascii="Arial" w:eastAsia="Arial" w:hAnsi="Arial" w:cs="Arial"/>
                <w:sz w:val="20"/>
                <w:szCs w:val="20"/>
              </w:rPr>
              <w:t xml:space="preserve">follow specific guidance for the activity as outlined in the latest </w:t>
            </w:r>
            <w:hyperlink r:id="rId13">
              <w:r w:rsidRPr="000132A4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government guidelines</w:t>
              </w:r>
            </w:hyperlink>
          </w:p>
          <w:p w14:paraId="35EFEA62" w14:textId="77777777" w:rsidR="00C06EF3" w:rsidRPr="00C06EF3" w:rsidRDefault="00C06EF3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</w:pPr>
            <w:r w:rsidRPr="00C06EF3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Ensure all venues are booked ahead so you are aware of their specific guidelines</w:t>
            </w:r>
            <w:r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and can include this in the event RA</w:t>
            </w:r>
            <w:r w:rsidR="00DE7018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. The final RA must also be approved by the venue.</w:t>
            </w:r>
          </w:p>
          <w:p w14:paraId="4FFF715D" w14:textId="77777777" w:rsidR="000132A4" w:rsidRPr="00C06EF3" w:rsidRDefault="0F47DF6F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</w:pPr>
            <w:r w:rsidRPr="2B3EB0FA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Organiser to </w:t>
            </w:r>
            <w:r w:rsidR="518AD337" w:rsidRPr="2B3EB0FA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instruct</w:t>
            </w:r>
            <w:r w:rsidR="30FA4E20" w:rsidRPr="2B3EB0FA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attendees not to attend if they or anyone in their household have any </w:t>
            </w:r>
            <w:r w:rsidRPr="2B3EB0FA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Covid-19 </w:t>
            </w:r>
            <w:r w:rsidR="30FA4E20" w:rsidRPr="2B3EB0FA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symptoms in line with </w:t>
            </w:r>
            <w:hyperlink r:id="rId14">
              <w:r w:rsidR="30FA4E20" w:rsidRPr="2B3EB0FA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government guidance</w:t>
              </w:r>
            </w:hyperlink>
            <w:r w:rsidR="518AD337" w:rsidRPr="2B3EB0FA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, remind them about </w:t>
            </w:r>
            <w:r w:rsidR="01A0444E" w:rsidRPr="2B3EB0FA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items</w:t>
            </w:r>
            <w:r w:rsidR="518AD337" w:rsidRPr="2B3EB0FA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they need to bring,</w:t>
            </w:r>
            <w:r w:rsidR="01A0444E" w:rsidRPr="2B3EB0FA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outline expected behaviour</w:t>
            </w:r>
            <w:r w:rsidR="58F87AE9" w:rsidRPr="2B3EB0FA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s</w:t>
            </w:r>
            <w:r w:rsidR="01A0444E" w:rsidRPr="2B3EB0FA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and </w:t>
            </w:r>
            <w:r w:rsidRPr="2B3EB0FA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alert them that their details will be required as part of ‘Test &amp; Trace’ requirements.</w:t>
            </w:r>
          </w:p>
          <w:p w14:paraId="195592D8" w14:textId="258EFB6B" w:rsidR="0F693668" w:rsidRDefault="32E0F72B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Theme="minorHAnsi" w:eastAsiaTheme="minorEastAsia" w:hAnsiTheme="minorHAnsi" w:cstheme="minorBidi"/>
                <w:color w:val="auto"/>
                <w:sz w:val="20"/>
                <w:szCs w:val="20"/>
                <w:u w:val="none"/>
              </w:rPr>
            </w:pPr>
            <w:r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O</w:t>
            </w:r>
            <w:r w:rsidR="0F693668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rganiser</w:t>
            </w:r>
            <w:r w:rsidR="790F8489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s</w:t>
            </w:r>
            <w:r w:rsidR="0F693668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740C80A3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to</w:t>
            </w:r>
            <w:r w:rsidR="0F693668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create MSL sign up for their event/activity and all attending</w:t>
            </w:r>
            <w:r w:rsidR="020D042E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(including organisers)</w:t>
            </w:r>
            <w:r w:rsidR="0F693668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40188466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to </w:t>
            </w:r>
            <w:r w:rsidR="582DC55B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book</w:t>
            </w:r>
            <w:r w:rsidR="39E1F20C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0D36619B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in advance via MSL.</w:t>
            </w:r>
          </w:p>
          <w:p w14:paraId="04B2960D" w14:textId="29D134B7" w:rsidR="6BA3EE62" w:rsidRDefault="6BA3EE62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Theme="minorHAnsi" w:eastAsiaTheme="minorEastAsia" w:hAnsiTheme="minorHAnsi" w:cstheme="minorBidi"/>
                <w:color w:val="auto"/>
                <w:sz w:val="20"/>
                <w:szCs w:val="20"/>
                <w:u w:val="none"/>
              </w:rPr>
            </w:pPr>
            <w:r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Organisers</w:t>
            </w:r>
            <w:r w:rsidR="33FF8DCA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1EB652F3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to </w:t>
            </w:r>
            <w:r w:rsidR="3800D46E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ens</w:t>
            </w:r>
            <w:r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ure that only those who have booked to attend </w:t>
            </w:r>
            <w:r w:rsidR="5DC5F6C3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are permitted to </w:t>
            </w:r>
            <w:r w:rsidR="20DA8E03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join </w:t>
            </w:r>
            <w:r w:rsidR="711852CC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the ev</w:t>
            </w:r>
            <w:r w:rsidR="5DC5F6C3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ent</w:t>
            </w:r>
            <w:r w:rsidR="53601908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/activity</w:t>
            </w:r>
            <w:r w:rsidR="1FD73B2D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.</w:t>
            </w:r>
          </w:p>
          <w:p w14:paraId="15ACECBB" w14:textId="0836BF86" w:rsidR="000132A4" w:rsidRPr="00EE023F" w:rsidRDefault="5AF206FE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Theme="minorHAnsi" w:eastAsiaTheme="minorEastAsia" w:hAnsiTheme="minorHAnsi" w:cstheme="minorBidi"/>
                <w:color w:val="auto"/>
                <w:sz w:val="20"/>
                <w:szCs w:val="20"/>
                <w:u w:val="none"/>
              </w:rPr>
            </w:pPr>
            <w:r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In the </w:t>
            </w:r>
            <w:r w:rsidR="5E1BEB0D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unlikely e</w:t>
            </w:r>
            <w:r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vent that the o</w:t>
            </w:r>
            <w:r w:rsidR="000132A4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nline systems </w:t>
            </w:r>
            <w:r w:rsidR="1C608FD8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fails,</w:t>
            </w:r>
            <w:r w:rsidR="000132A4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436F63DB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organisers should record the library card number</w:t>
            </w:r>
            <w:r w:rsidR="000132A4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6882A546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of all </w:t>
            </w:r>
            <w:r w:rsidR="53E8CB66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w</w:t>
            </w:r>
            <w:r w:rsidR="6882A546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h</w:t>
            </w:r>
            <w:r w:rsidR="53E8CB66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o</w:t>
            </w:r>
            <w:r w:rsidR="6882A546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attend </w:t>
            </w:r>
            <w:r w:rsidR="000132A4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and p</w:t>
            </w:r>
            <w:r w:rsidR="38980DF5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rovide these to</w:t>
            </w:r>
            <w:r w:rsidR="000132A4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The SU activities office</w:t>
            </w:r>
            <w:r w:rsidR="58027680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immediately</w:t>
            </w:r>
            <w:r w:rsidR="000132A4" w:rsidRPr="7542BCC6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following the event.</w:t>
            </w:r>
          </w:p>
          <w:p w14:paraId="260283A6" w14:textId="3ABD0859" w:rsidR="000132A4" w:rsidRPr="00EE023F" w:rsidRDefault="0F47DF6F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</w:pPr>
            <w:r w:rsidRPr="2B3EB0FA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lastRenderedPageBreak/>
              <w:t xml:space="preserve">If any event/activity organiser is made aware that an attendee has tested positive for Covid-19, they </w:t>
            </w:r>
            <w:r w:rsidR="52F644B6" w:rsidRPr="2B3EB0FA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should check that the individual has reported as part of the University outbreak management plan and </w:t>
            </w:r>
            <w:r w:rsidRPr="2B3EB0FA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>must inform The SU activities office at the first opportunity.</w:t>
            </w:r>
            <w:r w:rsidR="03724948" w:rsidRPr="2B3EB0FA"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981363F" w14:textId="77777777" w:rsidR="00EE023F" w:rsidRPr="00DE7018" w:rsidRDefault="00EE023F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</w:pPr>
            <w:r w:rsidRPr="00EE023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When using public transport please abide by the regulations stated on the vehicle/by the transport company</w:t>
            </w:r>
          </w:p>
          <w:p w14:paraId="7D0AD88A" w14:textId="77777777" w:rsidR="00DE7018" w:rsidRPr="00EE023F" w:rsidRDefault="00DE7018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E023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For ‘performances’, </w:t>
            </w:r>
            <w:hyperlink r:id="rId15" w:anchor="arts-4-11">
              <w:r w:rsidRPr="00EE023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government guidelines on Performing Arts</w:t>
              </w:r>
            </w:hyperlink>
            <w:r w:rsidRPr="00EE023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must be followed in the RA</w:t>
            </w:r>
          </w:p>
          <w:p w14:paraId="2422152E" w14:textId="3A736C21" w:rsidR="00DE7018" w:rsidRPr="00DE7018" w:rsidRDefault="00DE7018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504A028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Each club must only return to sport when they have the appropriate measures in place as developed by their specific Governing Bodies</w:t>
            </w:r>
            <w:r w:rsidR="493AEA12" w:rsidRPr="504A028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if relevant</w:t>
            </w:r>
            <w:r w:rsidR="008B572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and</w:t>
            </w:r>
            <w:r w:rsidR="493AEA12" w:rsidRPr="504A028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hyperlink r:id="rId16">
              <w:r w:rsidRPr="504A028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general government guidance</w:t>
              </w:r>
            </w:hyperlink>
            <w:r w:rsidRPr="504A028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in relation to recreational sport</w:t>
            </w:r>
            <w:r w:rsidR="008B572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. Sport groups must also apply and follow</w:t>
            </w:r>
            <w:r w:rsidR="200317DB" w:rsidRPr="504A028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specific facility processes including </w:t>
            </w:r>
            <w:r w:rsidR="008B572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producing a </w:t>
            </w:r>
            <w:r w:rsidR="200317DB" w:rsidRPr="504A028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Normal Operating Procedure (NOP) to demonstrate how they will </w:t>
            </w:r>
            <w:r w:rsidR="40B7714B" w:rsidRPr="504A028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deliver an activity in line with the facility's own procedures and risk assessments.</w:t>
            </w:r>
          </w:p>
          <w:p w14:paraId="4A9340AE" w14:textId="77777777" w:rsidR="00DE7018" w:rsidRPr="00DE7018" w:rsidRDefault="00DE7018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E7018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All sports must</w:t>
            </w:r>
            <w:r w:rsidRPr="00DE7018">
              <w:rPr>
                <w:rFonts w:ascii="Arial" w:eastAsia="Arial" w:hAnsi="Arial" w:cs="Arial"/>
                <w:sz w:val="20"/>
                <w:szCs w:val="20"/>
              </w:rPr>
              <w:t xml:space="preserve"> adhere to social distancing throughout warm-ups and breaks following </w:t>
            </w:r>
            <w:hyperlink r:id="rId17">
              <w:r w:rsidRPr="00DE7018">
                <w:rPr>
                  <w:rStyle w:val="Hyperlink"/>
                  <w:rFonts w:ascii="Arial" w:eastAsia="Arial" w:hAnsi="Arial" w:cs="Arial"/>
                  <w:sz w:val="20"/>
                  <w:szCs w:val="20"/>
                  <w:u w:val="none"/>
                </w:rPr>
                <w:t>government guidelines</w:t>
              </w:r>
            </w:hyperlink>
            <w:r w:rsidRPr="00DE701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E252B2E" w14:textId="44AB9116" w:rsidR="00DE7018" w:rsidRDefault="00DE7018" w:rsidP="00E5409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Organiser to consider </w:t>
            </w:r>
            <w:r w:rsidRPr="4886C8A0">
              <w:rPr>
                <w:rFonts w:ascii="Arial" w:eastAsia="Arial" w:hAnsi="Arial" w:cs="Arial"/>
                <w:sz w:val="20"/>
                <w:szCs w:val="20"/>
              </w:rPr>
              <w:t xml:space="preserve">financial </w:t>
            </w:r>
            <w:r>
              <w:rPr>
                <w:rFonts w:ascii="Arial" w:eastAsia="Arial" w:hAnsi="Arial" w:cs="Arial"/>
                <w:sz w:val="20"/>
                <w:szCs w:val="20"/>
              </w:rPr>
              <w:t>risk</w:t>
            </w:r>
            <w:r w:rsidRPr="4886C8A0">
              <w:rPr>
                <w:rFonts w:ascii="Arial" w:eastAsia="Arial" w:hAnsi="Arial" w:cs="Arial"/>
                <w:sz w:val="20"/>
                <w:szCs w:val="20"/>
              </w:rPr>
              <w:t xml:space="preserve"> if the event is cancelled due to Covid 19 regulations</w:t>
            </w:r>
          </w:p>
          <w:p w14:paraId="42F640A1" w14:textId="17E7C21D" w:rsidR="00DE7018" w:rsidRPr="00DE7018" w:rsidRDefault="55F32386" w:rsidP="00E5409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B3EB0FA">
              <w:rPr>
                <w:rFonts w:ascii="Arial" w:eastAsia="Arial" w:hAnsi="Arial" w:cs="Arial"/>
                <w:sz w:val="20"/>
                <w:szCs w:val="20"/>
              </w:rPr>
              <w:t xml:space="preserve">Activities to be ‘cashless’- </w:t>
            </w:r>
            <w:r w:rsidR="74DACECB" w:rsidRPr="2B3EB0FA">
              <w:rPr>
                <w:rFonts w:ascii="Arial" w:eastAsia="Arial" w:hAnsi="Arial" w:cs="Arial"/>
                <w:sz w:val="20"/>
                <w:szCs w:val="20"/>
              </w:rPr>
              <w:t xml:space="preserve">card readers </w:t>
            </w:r>
            <w:r w:rsidR="59623948" w:rsidRPr="2B3EB0FA">
              <w:rPr>
                <w:rFonts w:ascii="Arial" w:eastAsia="Arial" w:hAnsi="Arial" w:cs="Arial"/>
                <w:sz w:val="20"/>
                <w:szCs w:val="20"/>
              </w:rPr>
              <w:t xml:space="preserve">to be </w:t>
            </w:r>
            <w:r w:rsidR="74DACECB" w:rsidRPr="2B3EB0FA">
              <w:rPr>
                <w:rFonts w:ascii="Arial" w:eastAsia="Arial" w:hAnsi="Arial" w:cs="Arial"/>
                <w:sz w:val="20"/>
                <w:szCs w:val="20"/>
              </w:rPr>
              <w:t>used</w:t>
            </w:r>
          </w:p>
          <w:p w14:paraId="0A0957A8" w14:textId="4856DA71" w:rsidR="30EDF2F4" w:rsidRDefault="30EDF2F4" w:rsidP="00E5409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 w:rsidRPr="2B3EB0FA">
              <w:rPr>
                <w:rFonts w:ascii="Arial" w:eastAsia="Arial" w:hAnsi="Arial" w:cs="Arial"/>
                <w:sz w:val="20"/>
                <w:szCs w:val="20"/>
              </w:rPr>
              <w:t xml:space="preserve">In the event of an evacuation or </w:t>
            </w:r>
            <w:proofErr w:type="spellStart"/>
            <w:r w:rsidRPr="2B3EB0FA">
              <w:rPr>
                <w:rFonts w:ascii="Arial" w:eastAsia="Arial" w:hAnsi="Arial" w:cs="Arial"/>
                <w:sz w:val="20"/>
                <w:szCs w:val="20"/>
              </w:rPr>
              <w:t>invacuation</w:t>
            </w:r>
            <w:proofErr w:type="spellEnd"/>
            <w:r w:rsidRPr="2B3EB0FA">
              <w:rPr>
                <w:rFonts w:ascii="Arial" w:eastAsia="Arial" w:hAnsi="Arial" w:cs="Arial"/>
                <w:sz w:val="20"/>
                <w:szCs w:val="20"/>
              </w:rPr>
              <w:t>, this overrides covid controls, however partic</w:t>
            </w:r>
            <w:r w:rsidR="430FDF9A" w:rsidRPr="2B3EB0F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2B3EB0FA">
              <w:rPr>
                <w:rFonts w:ascii="Arial" w:eastAsia="Arial" w:hAnsi="Arial" w:cs="Arial"/>
                <w:sz w:val="20"/>
                <w:szCs w:val="20"/>
              </w:rPr>
              <w:t xml:space="preserve">pants should seek to </w:t>
            </w:r>
            <w:r w:rsidR="57D08841" w:rsidRPr="2B3EB0FA">
              <w:rPr>
                <w:rFonts w:ascii="Arial" w:eastAsia="Arial" w:hAnsi="Arial" w:cs="Arial"/>
                <w:sz w:val="20"/>
                <w:szCs w:val="20"/>
              </w:rPr>
              <w:t>socially distance wherever possible</w:t>
            </w:r>
          </w:p>
          <w:p w14:paraId="7C1A2DD0" w14:textId="77777777" w:rsidR="3B575F51" w:rsidRPr="000132A4" w:rsidRDefault="3B575F51" w:rsidP="00E54094">
            <w:pPr>
              <w:pStyle w:val="ListParagraph"/>
              <w:spacing w:line="276" w:lineRule="auto"/>
              <w:ind w:left="0"/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C510F" w14:paraId="7C1C0307" w14:textId="77777777" w:rsidTr="00E54094">
        <w:trPr>
          <w:cantSplit/>
          <w:trHeight w:val="3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4929" w14:textId="77777777" w:rsidR="60E82D83" w:rsidRDefault="60E82D83" w:rsidP="00E54094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8D40" w14:textId="77777777" w:rsidR="66C37CE0" w:rsidRDefault="66C37CE0" w:rsidP="00E54094">
            <w:r>
              <w:t>Airborne transmission of COVID-19 virus by attendees</w:t>
            </w:r>
          </w:p>
          <w:p w14:paraId="6F0FA48B" w14:textId="77777777" w:rsidR="60E82D83" w:rsidRDefault="60E82D83" w:rsidP="00E54094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F99" w14:textId="77777777" w:rsidR="66C37CE0" w:rsidRDefault="66C37CE0" w:rsidP="00E54094">
            <w:r>
              <w:t>Any person taking part in the activity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7807" w14:textId="77777777" w:rsidR="007102D6" w:rsidRPr="000132A4" w:rsidRDefault="007102D6" w:rsidP="00E54094">
            <w:pPr>
              <w:pStyle w:val="ListParagraph"/>
              <w:numPr>
                <w:ilvl w:val="0"/>
                <w:numId w:val="37"/>
              </w:numPr>
              <w:ind w:left="126" w:hanging="142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Specific venue RA and activity </w:t>
            </w:r>
            <w:hyperlink r:id="rId18">
              <w:r w:rsidRPr="000132A4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government guidelines</w:t>
              </w:r>
            </w:hyperlink>
          </w:p>
          <w:p w14:paraId="0F43570C" w14:textId="77777777" w:rsidR="4886C8A0" w:rsidRDefault="4886C8A0" w:rsidP="00E54094">
            <w:pPr>
              <w:ind w:left="268" w:hanging="216"/>
              <w:rPr>
                <w:rFonts w:eastAsia="Arial"/>
                <w:sz w:val="20"/>
                <w:szCs w:val="20"/>
              </w:rPr>
            </w:pPr>
          </w:p>
          <w:p w14:paraId="256F2B2C" w14:textId="77777777" w:rsidR="4886C8A0" w:rsidRDefault="4886C8A0" w:rsidP="00E54094">
            <w:pPr>
              <w:ind w:left="268" w:hanging="216"/>
              <w:rPr>
                <w:rFonts w:eastAsia="Arial"/>
                <w:sz w:val="20"/>
                <w:szCs w:val="20"/>
              </w:rPr>
            </w:pPr>
          </w:p>
          <w:p w14:paraId="34D7F939" w14:textId="77777777" w:rsidR="60E82D83" w:rsidRDefault="60E82D83" w:rsidP="00E54094">
            <w:pPr>
              <w:ind w:left="268" w:hanging="216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C90F" w14:textId="77777777" w:rsidR="60E82D83" w:rsidRDefault="644B8CF1" w:rsidP="00E54094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291ABA5C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3DFB" w14:textId="77777777" w:rsidR="60E82D83" w:rsidRDefault="644B8CF1" w:rsidP="00E54094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291ABA5C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B7D9" w14:textId="77777777" w:rsidR="60E82D83" w:rsidRDefault="644B8CF1" w:rsidP="00E54094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291ABA5C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EEBA" w14:textId="77777777" w:rsidR="00CC510F" w:rsidRDefault="007102D6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Implementation to </w:t>
            </w:r>
            <w:r w:rsidR="00CC510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include:</w:t>
            </w:r>
          </w:p>
          <w:p w14:paraId="625428D0" w14:textId="77777777" w:rsidR="00EE023F" w:rsidRPr="00EE023F" w:rsidRDefault="00CC510F" w:rsidP="00E54094">
            <w:pPr>
              <w:pStyle w:val="ListParagraph"/>
              <w:numPr>
                <w:ilvl w:val="1"/>
                <w:numId w:val="37"/>
              </w:numPr>
              <w:ind w:left="634" w:hanging="283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Adhering to the m</w:t>
            </w:r>
            <w:r w:rsidR="00EE023F" w:rsidRPr="00EE023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aximum occupancy level defined by 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the venue’s </w:t>
            </w:r>
            <w:r w:rsidR="00EE023F" w:rsidRPr="00EE023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ventilation assessment </w:t>
            </w:r>
          </w:p>
          <w:p w14:paraId="51AEAC32" w14:textId="77777777" w:rsidR="00CC510F" w:rsidRDefault="00EE023F" w:rsidP="00E54094">
            <w:pPr>
              <w:pStyle w:val="ListParagraph"/>
              <w:numPr>
                <w:ilvl w:val="1"/>
                <w:numId w:val="37"/>
              </w:numPr>
              <w:ind w:left="634" w:hanging="283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E023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Defin</w:t>
            </w:r>
            <w:r w:rsidR="00CC510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ing</w:t>
            </w:r>
            <w:r w:rsidRPr="00EE023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transit routes </w:t>
            </w:r>
            <w:r w:rsidR="00CC510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to, </w:t>
            </w:r>
            <w:r w:rsidRPr="00EE023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into and within </w:t>
            </w:r>
            <w:r w:rsidR="00CC510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the venue</w:t>
            </w:r>
            <w:r w:rsidRPr="00EE023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510E4F0" w14:textId="77777777" w:rsidR="00CC510F" w:rsidRDefault="00CC510F" w:rsidP="00E54094">
            <w:pPr>
              <w:pStyle w:val="ListParagraph"/>
              <w:numPr>
                <w:ilvl w:val="1"/>
                <w:numId w:val="37"/>
              </w:numPr>
              <w:ind w:left="634" w:hanging="283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Ensuring that participants are aware of arrival and departure routes and times</w:t>
            </w:r>
          </w:p>
          <w:p w14:paraId="642B9ECE" w14:textId="77777777" w:rsidR="00EE023F" w:rsidRPr="00EE023F" w:rsidRDefault="00CC510F" w:rsidP="00E54094">
            <w:pPr>
              <w:pStyle w:val="ListParagraph"/>
              <w:numPr>
                <w:ilvl w:val="1"/>
                <w:numId w:val="37"/>
              </w:numPr>
              <w:ind w:left="634" w:hanging="283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Avoiding overlaps with other users before or after</w:t>
            </w:r>
          </w:p>
          <w:p w14:paraId="787839F2" w14:textId="77777777" w:rsidR="60E82D83" w:rsidRPr="00EE023F" w:rsidRDefault="00C06EF3" w:rsidP="00E54094">
            <w:pPr>
              <w:pStyle w:val="ListParagraph"/>
              <w:numPr>
                <w:ilvl w:val="1"/>
                <w:numId w:val="37"/>
              </w:numPr>
              <w:ind w:left="634" w:hanging="283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E023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Ensur</w:t>
            </w:r>
            <w:r w:rsidR="00CC510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ing</w:t>
            </w:r>
            <w:r w:rsidRPr="00EE023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any necessary one-way systems are in place and there is adequate space for participants to remain apart.</w:t>
            </w:r>
          </w:p>
          <w:p w14:paraId="3753F572" w14:textId="02863FAE" w:rsidR="00C06EF3" w:rsidRPr="00EE023F" w:rsidRDefault="0FA705AE" w:rsidP="00E54094">
            <w:pPr>
              <w:pStyle w:val="ListParagraph"/>
              <w:numPr>
                <w:ilvl w:val="1"/>
                <w:numId w:val="37"/>
              </w:numPr>
              <w:ind w:left="634" w:hanging="283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2CEADA3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Only those pre-booked onto the activity can join the event/class</w:t>
            </w:r>
          </w:p>
          <w:p w14:paraId="2AFBEC0F" w14:textId="77777777" w:rsidR="00C06EF3" w:rsidRPr="00EE023F" w:rsidRDefault="00C06EF3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Fonts w:ascii="Arial" w:eastAsiaTheme="minorEastAsia" w:hAnsi="Arial" w:cs="Arial"/>
                <w:sz w:val="20"/>
                <w:szCs w:val="20"/>
              </w:rPr>
            </w:pPr>
            <w:r w:rsidRPr="00EE023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Where guidance requires, </w:t>
            </w:r>
            <w:r w:rsidR="007102D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tell </w:t>
            </w:r>
            <w:r w:rsidRPr="00EE023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participants </w:t>
            </w:r>
            <w:r w:rsidR="007102D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to </w:t>
            </w:r>
            <w:r w:rsidRPr="00EE023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bring face</w:t>
            </w:r>
            <w:r w:rsidR="007102D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coverings </w:t>
            </w:r>
            <w:r w:rsidR="00EE023F" w:rsidRPr="00EE023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and provide</w:t>
            </w:r>
            <w:r w:rsidR="00EE023F" w:rsidRPr="00EE023F">
              <w:rPr>
                <w:rFonts w:ascii="Arial" w:eastAsiaTheme="minorEastAsia" w:hAnsi="Arial" w:cs="Arial"/>
                <w:sz w:val="20"/>
                <w:szCs w:val="20"/>
              </w:rPr>
              <w:t xml:space="preserve"> clean disposable spares</w:t>
            </w:r>
            <w:r w:rsidR="00EE023F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1D9BC688" w14:textId="77777777" w:rsidR="60E82D83" w:rsidRDefault="60E82D83" w:rsidP="00E54094">
            <w:pPr>
              <w:pStyle w:val="ListParagraph"/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102D6" w14:paraId="6360E90B" w14:textId="77777777" w:rsidTr="00E54094">
        <w:trPr>
          <w:cantSplit/>
          <w:trHeight w:val="3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983" w14:textId="77777777" w:rsidR="60E82D83" w:rsidRDefault="60E82D83" w:rsidP="00E54094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7E19" w14:textId="77777777" w:rsidR="66C37CE0" w:rsidRPr="00C71C7B" w:rsidRDefault="66C37CE0" w:rsidP="00E54094">
            <w:pPr>
              <w:rPr>
                <w:sz w:val="20"/>
                <w:szCs w:val="20"/>
              </w:rPr>
            </w:pPr>
            <w:r w:rsidRPr="00C71C7B">
              <w:rPr>
                <w:sz w:val="20"/>
                <w:szCs w:val="20"/>
              </w:rPr>
              <w:t>Surface transmission of COVID-19 virus</w:t>
            </w:r>
          </w:p>
          <w:p w14:paraId="23D87A6C" w14:textId="77777777" w:rsidR="60E82D83" w:rsidRPr="00C71C7B" w:rsidRDefault="60E82D83" w:rsidP="00E54094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45F2" w14:textId="77777777" w:rsidR="66C37CE0" w:rsidRPr="00C71C7B" w:rsidRDefault="66C37CE0" w:rsidP="00E54094">
            <w:pPr>
              <w:rPr>
                <w:sz w:val="20"/>
                <w:szCs w:val="20"/>
              </w:rPr>
            </w:pPr>
            <w:r w:rsidRPr="00C71C7B">
              <w:rPr>
                <w:sz w:val="20"/>
                <w:szCs w:val="20"/>
              </w:rPr>
              <w:t xml:space="preserve">Any person taking the activity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1E0B" w14:textId="77777777" w:rsidR="007102D6" w:rsidRPr="007102D6" w:rsidRDefault="007102D6" w:rsidP="00E54094">
            <w:pPr>
              <w:pStyle w:val="ListParagraph"/>
              <w:numPr>
                <w:ilvl w:val="0"/>
                <w:numId w:val="37"/>
              </w:numPr>
              <w:ind w:left="126" w:hanging="142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</w:pPr>
            <w:r w:rsidRPr="007102D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Specific venue RA and activity </w:t>
            </w:r>
            <w:hyperlink r:id="rId19">
              <w:r w:rsidRPr="007102D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government guidelines</w:t>
              </w:r>
            </w:hyperlink>
          </w:p>
          <w:p w14:paraId="1A7A70A1" w14:textId="77777777" w:rsidR="60E82D83" w:rsidRPr="007102D6" w:rsidRDefault="2E8BCAE7" w:rsidP="00E54094">
            <w:pPr>
              <w:pStyle w:val="ListParagraph"/>
              <w:numPr>
                <w:ilvl w:val="0"/>
                <w:numId w:val="37"/>
              </w:numPr>
              <w:ind w:left="126" w:hanging="142"/>
              <w:rPr>
                <w:rFonts w:ascii="Arial" w:eastAsia="Arial" w:hAnsi="Arial" w:cs="Arial"/>
                <w:sz w:val="20"/>
                <w:szCs w:val="20"/>
              </w:rPr>
            </w:pPr>
            <w:r w:rsidRPr="007102D6">
              <w:rPr>
                <w:rFonts w:ascii="Arial" w:eastAsia="Arial" w:hAnsi="Arial" w:cs="Arial"/>
                <w:sz w:val="20"/>
                <w:szCs w:val="20"/>
              </w:rPr>
              <w:t xml:space="preserve">Cleaning products available </w:t>
            </w:r>
            <w:r w:rsidR="00CC510F" w:rsidRPr="007102D6">
              <w:rPr>
                <w:rFonts w:ascii="Arial" w:eastAsia="Arial" w:hAnsi="Arial" w:cs="Arial"/>
                <w:sz w:val="20"/>
                <w:szCs w:val="20"/>
              </w:rPr>
              <w:t xml:space="preserve">via </w:t>
            </w:r>
            <w:r w:rsidR="00CC510F" w:rsidRPr="007102D6">
              <w:rPr>
                <w:rStyle w:val="Hyperlink"/>
                <w:rFonts w:ascii="Arial" w:hAnsi="Arial" w:cs="Arial"/>
                <w:color w:val="auto"/>
                <w:u w:val="none"/>
              </w:rPr>
              <w:t>The</w:t>
            </w:r>
            <w:r w:rsidR="00CC510F" w:rsidRPr="007102D6">
              <w:rPr>
                <w:rFonts w:ascii="Arial" w:eastAsia="Arial" w:hAnsi="Arial" w:cs="Arial"/>
                <w:sz w:val="20"/>
                <w:szCs w:val="20"/>
              </w:rPr>
              <w:t xml:space="preserve"> SU to meet any surface cleaning requirements </w:t>
            </w:r>
          </w:p>
          <w:p w14:paraId="663F81CA" w14:textId="77777777" w:rsidR="60E82D83" w:rsidRDefault="60E82D83" w:rsidP="00E54094">
            <w:pPr>
              <w:spacing w:line="276" w:lineRule="auto"/>
              <w:rPr>
                <w:rFonts w:eastAsia="Arial"/>
                <w:sz w:val="20"/>
                <w:szCs w:val="20"/>
              </w:rPr>
            </w:pPr>
          </w:p>
          <w:p w14:paraId="2D631027" w14:textId="77777777" w:rsidR="60E82D83" w:rsidRDefault="60E82D83" w:rsidP="00E54094">
            <w:pPr>
              <w:spacing w:line="276" w:lineRule="auto"/>
              <w:rPr>
                <w:rFonts w:eastAsia="Arial"/>
                <w:sz w:val="20"/>
                <w:szCs w:val="20"/>
              </w:rPr>
            </w:pPr>
          </w:p>
          <w:p w14:paraId="4C6F85FA" w14:textId="77777777" w:rsidR="60E82D83" w:rsidRDefault="60E82D83" w:rsidP="00E54094">
            <w:pPr>
              <w:spacing w:line="276" w:lineRule="auto"/>
              <w:rPr>
                <w:rFonts w:eastAsia="Arial"/>
                <w:sz w:val="20"/>
                <w:szCs w:val="20"/>
              </w:rPr>
            </w:pPr>
          </w:p>
          <w:p w14:paraId="6D73B18B" w14:textId="77777777" w:rsidR="60E82D83" w:rsidRDefault="60E82D83" w:rsidP="00E54094">
            <w:pPr>
              <w:spacing w:line="276" w:lineRule="auto"/>
              <w:rPr>
                <w:rFonts w:eastAsia="Arial"/>
                <w:sz w:val="20"/>
                <w:szCs w:val="20"/>
              </w:rPr>
            </w:pPr>
          </w:p>
          <w:p w14:paraId="0A6F06A7" w14:textId="77777777" w:rsidR="60E82D83" w:rsidRDefault="60E82D83" w:rsidP="00E54094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F089" w14:textId="77777777" w:rsidR="60E82D83" w:rsidRDefault="6571E8F6" w:rsidP="00E54094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4886C8A0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6A1" w14:textId="77777777" w:rsidR="60E82D83" w:rsidRDefault="6571E8F6" w:rsidP="00E54094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4886C8A0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6AE" w14:textId="77777777" w:rsidR="60E82D83" w:rsidRDefault="6571E8F6" w:rsidP="00E54094">
            <w:pPr>
              <w:pStyle w:val="Title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4886C8A0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C308" w14:textId="77777777" w:rsidR="007F7EC5" w:rsidRPr="00C71C7B" w:rsidRDefault="007F7EC5" w:rsidP="00E54094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C71C7B">
              <w:rPr>
                <w:rStyle w:val="Hyperlink"/>
                <w:color w:val="auto"/>
                <w:sz w:val="20"/>
                <w:szCs w:val="20"/>
                <w:u w:val="none"/>
              </w:rPr>
              <w:t>Implementation to include:</w:t>
            </w:r>
          </w:p>
          <w:p w14:paraId="72B4F13B" w14:textId="77777777" w:rsidR="60E82D83" w:rsidRPr="00C71C7B" w:rsidRDefault="007F7EC5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Organisers</w:t>
            </w:r>
            <w:r w:rsidR="2E8BCAE7"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clean</w:t>
            </w:r>
            <w:r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ing</w:t>
            </w:r>
            <w:r w:rsidR="2E8BCAE7"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any </w:t>
            </w:r>
            <w:r w:rsidR="2E8BCAE7"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table, IT peripherals</w:t>
            </w:r>
            <w:r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, door handles</w:t>
            </w:r>
            <w:r w:rsidR="2E8BCAE7"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and chair arms with approved materials before use. </w:t>
            </w:r>
          </w:p>
          <w:p w14:paraId="229750C8" w14:textId="77777777" w:rsidR="60E82D83" w:rsidRPr="00C71C7B" w:rsidRDefault="2E8BCAE7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Keep</w:t>
            </w:r>
            <w:r w:rsidR="007F7EC5"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ing</w:t>
            </w:r>
            <w:r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surfaces clear to make it easier to clean and reduce the likelihood of contaminating objects.</w:t>
            </w:r>
          </w:p>
          <w:p w14:paraId="2202D54F" w14:textId="77777777" w:rsidR="007F7EC5" w:rsidRPr="00C71C7B" w:rsidRDefault="007F7EC5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Providing hand sanitiser for the occasions when people cannot access hand washing facilities and/or have not bought their own sanitiser with them </w:t>
            </w:r>
          </w:p>
          <w:p w14:paraId="61BE0A91" w14:textId="77777777" w:rsidR="60E82D83" w:rsidRPr="00C71C7B" w:rsidRDefault="007F7EC5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Ensure a</w:t>
            </w:r>
            <w:r w:rsidR="2E8BCAE7"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ttendees </w:t>
            </w:r>
            <w:r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are aware of the need to </w:t>
            </w:r>
            <w:r w:rsidR="2E8BCAE7"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sanitis</w:t>
            </w:r>
            <w:r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e</w:t>
            </w:r>
            <w:r w:rsidR="2E8BCAE7"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hands before entering the room</w:t>
            </w:r>
          </w:p>
          <w:p w14:paraId="52A858D5" w14:textId="77777777" w:rsidR="60E82D83" w:rsidRPr="00C71C7B" w:rsidRDefault="007F7EC5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Avoid </w:t>
            </w:r>
            <w:r w:rsidR="36EB3522"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sharing equipment</w:t>
            </w:r>
            <w:r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.</w:t>
            </w:r>
          </w:p>
          <w:p w14:paraId="1F64BC65" w14:textId="77777777" w:rsidR="60E82D83" w:rsidRPr="00C71C7B" w:rsidRDefault="007F7EC5" w:rsidP="00E54094">
            <w:pPr>
              <w:pStyle w:val="ListParagraph"/>
              <w:numPr>
                <w:ilvl w:val="0"/>
                <w:numId w:val="37"/>
              </w:numPr>
              <w:ind w:left="336" w:hanging="284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lastRenderedPageBreak/>
              <w:t>Limiting m</w:t>
            </w:r>
            <w:r w:rsidR="269A4FB0"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anual handling to </w:t>
            </w:r>
            <w:r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one</w:t>
            </w:r>
            <w:r w:rsidR="269A4FB0"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individual </w:t>
            </w:r>
            <w:r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using </w:t>
            </w:r>
            <w:r w:rsidR="50DDDFD8"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l</w:t>
            </w:r>
            <w:r w:rsidR="269A4FB0"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ifting aids (</w:t>
            </w:r>
            <w:proofErr w:type="spellStart"/>
            <w:r w:rsidR="269A4FB0"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eg</w:t>
            </w:r>
            <w:proofErr w:type="spellEnd"/>
            <w:r w:rsidR="269A4FB0"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trolley) </w:t>
            </w:r>
            <w:r w:rsidRPr="00C71C7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where required</w:t>
            </w:r>
          </w:p>
          <w:p w14:paraId="769C406F" w14:textId="77777777" w:rsidR="60E82D83" w:rsidRPr="007102D6" w:rsidRDefault="60E82D83" w:rsidP="00E54094">
            <w:pPr>
              <w:spacing w:line="276" w:lineRule="auto"/>
              <w:ind w:left="52"/>
              <w:rPr>
                <w:rStyle w:val="Hyperlink"/>
                <w:rFonts w:eastAsia="PMingLiU"/>
                <w:color w:val="auto"/>
                <w:u w:val="none"/>
              </w:rPr>
            </w:pPr>
          </w:p>
        </w:tc>
      </w:tr>
    </w:tbl>
    <w:p w14:paraId="1BB79B50" w14:textId="350372FA" w:rsidR="2B3EB0FA" w:rsidRDefault="2B3EB0FA"/>
    <w:p w14:paraId="3CA6305E" w14:textId="77777777" w:rsidR="4886C8A0" w:rsidRDefault="4886C8A0"/>
    <w:p w14:paraId="4E9A4DA1" w14:textId="77777777" w:rsidR="00F23803" w:rsidRDefault="00F23803" w:rsidP="00F23803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10A0FE45" w14:textId="77777777" w:rsidR="00F23803" w:rsidRDefault="00F23803" w:rsidP="00F23803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tbl>
      <w:tblPr>
        <w:tblW w:w="1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881"/>
        <w:gridCol w:w="2715"/>
      </w:tblGrid>
      <w:tr w:rsidR="00F23803" w14:paraId="21C03CA8" w14:textId="77777777" w:rsidTr="00F46746">
        <w:trPr>
          <w:cantSplit/>
          <w:trHeight w:val="93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5C4F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Assessor signature:</w:t>
            </w:r>
          </w:p>
          <w:p w14:paraId="4BAD01DD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14:paraId="472D59D8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14:paraId="31DC9627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121C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Print name:</w:t>
            </w:r>
          </w:p>
          <w:p w14:paraId="1DB8A200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14:paraId="4F2BAE25" w14:textId="77777777" w:rsidR="00F23803" w:rsidRDefault="00F23803" w:rsidP="00A9403B">
            <w:pPr>
              <w:rPr>
                <w:b/>
                <w:bCs/>
                <w:color w:val="000000"/>
                <w:szCs w:val="20"/>
              </w:rPr>
            </w:pPr>
          </w:p>
          <w:p w14:paraId="59C49A9B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0BFD" w14:textId="77777777" w:rsidR="00F23803" w:rsidRDefault="00F23803" w:rsidP="00A9403B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5A14E763" w14:textId="77777777" w:rsidR="00F23803" w:rsidRDefault="00F23803" w:rsidP="00A9403B">
            <w:pPr>
              <w:rPr>
                <w:b/>
              </w:rPr>
            </w:pPr>
          </w:p>
          <w:p w14:paraId="6EFDB22E" w14:textId="77777777" w:rsidR="00F23803" w:rsidRDefault="00F23803" w:rsidP="00A9403B">
            <w:pPr>
              <w:jc w:val="center"/>
              <w:rPr>
                <w:b/>
                <w:bCs/>
                <w:color w:val="000000"/>
                <w:szCs w:val="20"/>
              </w:rPr>
            </w:pPr>
          </w:p>
          <w:p w14:paraId="15A97A29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14:paraId="66E3B0A0" w14:textId="77777777" w:rsidR="00F23803" w:rsidRDefault="00F23803" w:rsidP="00F23803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10"/>
        <w:gridCol w:w="1688"/>
        <w:gridCol w:w="1454"/>
        <w:gridCol w:w="1588"/>
        <w:gridCol w:w="4768"/>
      </w:tblGrid>
      <w:tr w:rsidR="00F23803" w14:paraId="33F0654B" w14:textId="77777777" w:rsidTr="00A9403B">
        <w:trPr>
          <w:cantSplit/>
        </w:trPr>
        <w:tc>
          <w:tcPr>
            <w:tcW w:w="15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BE1C9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rPr>
                <w:rFonts w:ascii="Arial" w:hAnsi="Arial" w:cs="Arial"/>
                <w:sz w:val="40"/>
                <w:u w:val="none"/>
              </w:rPr>
              <w:lastRenderedPageBreak/>
              <w:t>Risk Assessment Action Plan</w:t>
            </w:r>
          </w:p>
          <w:p w14:paraId="2511B8EF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</w:p>
        </w:tc>
      </w:tr>
      <w:tr w:rsidR="00F23803" w14:paraId="73FC917E" w14:textId="77777777" w:rsidTr="00A940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86AB821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 xml:space="preserve">Hazard No.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268136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Action to be taken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D37C96F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By whom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03798D7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Target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FEF5110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Review date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B05AE4E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Outcome at review date</w:t>
            </w:r>
          </w:p>
        </w:tc>
      </w:tr>
      <w:tr w:rsidR="00F23803" w14:paraId="45BA43E9" w14:textId="77777777" w:rsidTr="00A940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8097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765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D608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9972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6828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93C9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F23803" w14:paraId="61FADA01" w14:textId="77777777" w:rsidTr="00A940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1CD6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364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1F44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48AB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793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B32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F23803" w14:paraId="705BD8EA" w14:textId="77777777" w:rsidTr="00A940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4515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5F9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84C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8975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0C11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DBB7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F23803" w14:paraId="5709ED41" w14:textId="77777777" w:rsidTr="00A940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642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6F28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3FAE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A22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5D5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369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F23803" w14:paraId="0D41E94F" w14:textId="77777777" w:rsidTr="00A940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B39A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DE61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B5B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7663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5F0C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3A34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F23803" w14:paraId="27274F96" w14:textId="77777777" w:rsidTr="00A940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E76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08A4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31E6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38D9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3B8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6E0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F23803" w14:paraId="677D84D4" w14:textId="77777777" w:rsidTr="00A9403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E9A9" w14:textId="77777777" w:rsidR="00F23803" w:rsidRDefault="00F23803" w:rsidP="00A9403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CC3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4FD042E9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B7F8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57F9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BBF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9263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F23803" w14:paraId="11038535" w14:textId="77777777" w:rsidTr="00A9403B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0F1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</w:p>
          <w:p w14:paraId="03F414EC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45D34D45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  <w:p w14:paraId="564817FF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26CD79DD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Date:</w:t>
            </w:r>
          </w:p>
          <w:p w14:paraId="33C8E02A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6CAC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</w:p>
          <w:p w14:paraId="5AF1CBEA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0928AA26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  <w:p w14:paraId="78143AFC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3B27C4D1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</w:t>
            </w:r>
          </w:p>
          <w:p w14:paraId="7FB655B9" w14:textId="77777777" w:rsidR="00F23803" w:rsidRDefault="00F23803" w:rsidP="00A9403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14:paraId="4F1A046A" w14:textId="77777777" w:rsidR="00F23803" w:rsidRDefault="00F23803" w:rsidP="00F23803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14:paraId="34283F42" w14:textId="77777777" w:rsidR="00F23803" w:rsidRDefault="00F23803" w:rsidP="00F23803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sectPr w:rsidR="00F23803" w:rsidSect="00A9403B">
      <w:headerReference w:type="default" r:id="rId20"/>
      <w:foot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F01A" w14:textId="77777777" w:rsidR="00E004B7" w:rsidRDefault="00E004B7">
      <w:r>
        <w:separator/>
      </w:r>
    </w:p>
  </w:endnote>
  <w:endnote w:type="continuationSeparator" w:id="0">
    <w:p w14:paraId="5AF86685" w14:textId="77777777" w:rsidR="00E004B7" w:rsidRDefault="00E0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Arial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798C38F4" w14:paraId="105D8F97" w14:textId="77777777" w:rsidTr="798C38F4">
      <w:tc>
        <w:tcPr>
          <w:tcW w:w="4653" w:type="dxa"/>
        </w:tcPr>
        <w:p w14:paraId="7D6BDD9A" w14:textId="77777777" w:rsidR="798C38F4" w:rsidRDefault="798C38F4" w:rsidP="798C38F4">
          <w:pPr>
            <w:pStyle w:val="Header"/>
            <w:ind w:left="-115"/>
          </w:pPr>
        </w:p>
      </w:tc>
      <w:tc>
        <w:tcPr>
          <w:tcW w:w="4653" w:type="dxa"/>
        </w:tcPr>
        <w:p w14:paraId="2E2166BD" w14:textId="77777777" w:rsidR="798C38F4" w:rsidRDefault="798C38F4" w:rsidP="798C38F4">
          <w:pPr>
            <w:pStyle w:val="Header"/>
            <w:jc w:val="center"/>
          </w:pPr>
        </w:p>
      </w:tc>
      <w:tc>
        <w:tcPr>
          <w:tcW w:w="4653" w:type="dxa"/>
        </w:tcPr>
        <w:p w14:paraId="526F3BFF" w14:textId="77777777" w:rsidR="798C38F4" w:rsidRDefault="798C38F4" w:rsidP="798C38F4">
          <w:pPr>
            <w:pStyle w:val="Header"/>
            <w:ind w:right="-115"/>
            <w:jc w:val="right"/>
          </w:pPr>
        </w:p>
      </w:tc>
    </w:tr>
  </w:tbl>
  <w:p w14:paraId="705A412F" w14:textId="77777777" w:rsidR="798C38F4" w:rsidRDefault="798C38F4" w:rsidP="798C3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CEA5" w14:textId="77777777" w:rsidR="00E004B7" w:rsidRDefault="00E004B7">
      <w:r>
        <w:separator/>
      </w:r>
    </w:p>
  </w:footnote>
  <w:footnote w:type="continuationSeparator" w:id="0">
    <w:p w14:paraId="21456BA7" w14:textId="77777777" w:rsidR="00E004B7" w:rsidRDefault="00E0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798C38F4" w14:paraId="74BC860C" w14:textId="77777777" w:rsidTr="798C38F4">
      <w:tc>
        <w:tcPr>
          <w:tcW w:w="4653" w:type="dxa"/>
        </w:tcPr>
        <w:p w14:paraId="5F2A1531" w14:textId="77777777" w:rsidR="798C38F4" w:rsidRDefault="798C38F4" w:rsidP="798C38F4">
          <w:pPr>
            <w:pStyle w:val="Header"/>
            <w:ind w:left="-115"/>
          </w:pPr>
        </w:p>
      </w:tc>
      <w:tc>
        <w:tcPr>
          <w:tcW w:w="4653" w:type="dxa"/>
        </w:tcPr>
        <w:p w14:paraId="6C7BE705" w14:textId="77777777" w:rsidR="798C38F4" w:rsidRDefault="798C38F4" w:rsidP="798C38F4">
          <w:pPr>
            <w:pStyle w:val="Header"/>
            <w:jc w:val="center"/>
          </w:pPr>
        </w:p>
      </w:tc>
      <w:tc>
        <w:tcPr>
          <w:tcW w:w="4653" w:type="dxa"/>
        </w:tcPr>
        <w:p w14:paraId="685A8C12" w14:textId="77777777" w:rsidR="798C38F4" w:rsidRDefault="798C38F4" w:rsidP="798C38F4">
          <w:pPr>
            <w:pStyle w:val="Header"/>
            <w:ind w:right="-115"/>
            <w:jc w:val="right"/>
          </w:pPr>
        </w:p>
      </w:tc>
    </w:tr>
  </w:tbl>
  <w:p w14:paraId="7F6F6FB2" w14:textId="77777777" w:rsidR="798C38F4" w:rsidRDefault="798C38F4" w:rsidP="798C3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EBE"/>
    <w:multiLevelType w:val="hybridMultilevel"/>
    <w:tmpl w:val="7A5C8910"/>
    <w:lvl w:ilvl="0" w:tplc="8A78A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06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E4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0E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6D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A7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A7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8A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AC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5850"/>
    <w:multiLevelType w:val="hybridMultilevel"/>
    <w:tmpl w:val="82F440CE"/>
    <w:lvl w:ilvl="0" w:tplc="ACB05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00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67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EB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ED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EE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E0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00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68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2E1C"/>
    <w:multiLevelType w:val="hybridMultilevel"/>
    <w:tmpl w:val="6884054E"/>
    <w:lvl w:ilvl="0" w:tplc="B908D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2A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AF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AA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A6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42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EA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66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C1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C1E"/>
    <w:multiLevelType w:val="hybridMultilevel"/>
    <w:tmpl w:val="34C4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A00B1"/>
    <w:multiLevelType w:val="hybridMultilevel"/>
    <w:tmpl w:val="4B1A8FFE"/>
    <w:lvl w:ilvl="0" w:tplc="8D081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0D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87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25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A3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27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E2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E9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E5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05A44"/>
    <w:multiLevelType w:val="hybridMultilevel"/>
    <w:tmpl w:val="60F28F58"/>
    <w:lvl w:ilvl="0" w:tplc="8FB6B13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3441"/>
    <w:multiLevelType w:val="hybridMultilevel"/>
    <w:tmpl w:val="BC2ED576"/>
    <w:lvl w:ilvl="0" w:tplc="951E4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E7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29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E2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E1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24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24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28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20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D4232"/>
    <w:multiLevelType w:val="hybridMultilevel"/>
    <w:tmpl w:val="4CE69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47482"/>
    <w:multiLevelType w:val="hybridMultilevel"/>
    <w:tmpl w:val="3D4AD3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EDCFC5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3262A"/>
    <w:multiLevelType w:val="hybridMultilevel"/>
    <w:tmpl w:val="ED7C7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15FE8"/>
    <w:multiLevelType w:val="hybridMultilevel"/>
    <w:tmpl w:val="0E82EC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850B7B"/>
    <w:multiLevelType w:val="hybridMultilevel"/>
    <w:tmpl w:val="CDB05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177D8"/>
    <w:multiLevelType w:val="hybridMultilevel"/>
    <w:tmpl w:val="B02898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F5CEF"/>
    <w:multiLevelType w:val="hybridMultilevel"/>
    <w:tmpl w:val="191A4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055C5"/>
    <w:multiLevelType w:val="hybridMultilevel"/>
    <w:tmpl w:val="695697D8"/>
    <w:lvl w:ilvl="0" w:tplc="8070B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B309D"/>
    <w:multiLevelType w:val="hybridMultilevel"/>
    <w:tmpl w:val="1EAE4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1E428B"/>
    <w:multiLevelType w:val="hybridMultilevel"/>
    <w:tmpl w:val="10224B2A"/>
    <w:lvl w:ilvl="0" w:tplc="E9109374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5AF49828">
      <w:start w:val="1"/>
      <w:numFmt w:val="bullet"/>
      <w:lvlText w:val="o"/>
      <w:lvlJc w:val="left"/>
      <w:pPr>
        <w:ind w:left="1132" w:hanging="360"/>
      </w:pPr>
      <w:rPr>
        <w:rFonts w:ascii="Courier New" w:hAnsi="Courier New" w:hint="default"/>
      </w:rPr>
    </w:lvl>
    <w:lvl w:ilvl="2" w:tplc="B54A5134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9B94FF78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57A4AA56">
      <w:start w:val="1"/>
      <w:numFmt w:val="bullet"/>
      <w:lvlText w:val="o"/>
      <w:lvlJc w:val="left"/>
      <w:pPr>
        <w:ind w:left="3292" w:hanging="360"/>
      </w:pPr>
      <w:rPr>
        <w:rFonts w:ascii="Courier New" w:hAnsi="Courier New" w:hint="default"/>
      </w:rPr>
    </w:lvl>
    <w:lvl w:ilvl="5" w:tplc="45E0FE38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7750B5F0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3580E25A">
      <w:start w:val="1"/>
      <w:numFmt w:val="bullet"/>
      <w:lvlText w:val="o"/>
      <w:lvlJc w:val="left"/>
      <w:pPr>
        <w:ind w:left="5452" w:hanging="360"/>
      </w:pPr>
      <w:rPr>
        <w:rFonts w:ascii="Courier New" w:hAnsi="Courier New" w:hint="default"/>
      </w:rPr>
    </w:lvl>
    <w:lvl w:ilvl="8" w:tplc="13AC2AD8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7" w15:restartNumberingAfterBreak="0">
    <w:nsid w:val="3AF2215A"/>
    <w:multiLevelType w:val="hybridMultilevel"/>
    <w:tmpl w:val="625A80F2"/>
    <w:lvl w:ilvl="0" w:tplc="21F89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44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88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E4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0B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6B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2A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6C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A1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172AE"/>
    <w:multiLevelType w:val="hybridMultilevel"/>
    <w:tmpl w:val="C0527D18"/>
    <w:lvl w:ilvl="0" w:tplc="8006E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0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E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46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2F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2B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0F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24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EC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64389"/>
    <w:multiLevelType w:val="hybridMultilevel"/>
    <w:tmpl w:val="AAAAF182"/>
    <w:lvl w:ilvl="0" w:tplc="8070B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E0589"/>
    <w:multiLevelType w:val="hybridMultilevel"/>
    <w:tmpl w:val="34D425A2"/>
    <w:lvl w:ilvl="0" w:tplc="19842A00">
      <w:start w:val="1"/>
      <w:numFmt w:val="bullet"/>
      <w:lvlText w:val="·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CA501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02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0B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4F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2B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EC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2F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E8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D1755"/>
    <w:multiLevelType w:val="hybridMultilevel"/>
    <w:tmpl w:val="A636F91E"/>
    <w:lvl w:ilvl="0" w:tplc="AF5AA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8D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C2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2F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4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2D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6D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21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A4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628A0"/>
    <w:multiLevelType w:val="hybridMultilevel"/>
    <w:tmpl w:val="996A0C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715E89"/>
    <w:multiLevelType w:val="hybridMultilevel"/>
    <w:tmpl w:val="E18A02C8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4" w15:restartNumberingAfterBreak="0">
    <w:nsid w:val="50993281"/>
    <w:multiLevelType w:val="hybridMultilevel"/>
    <w:tmpl w:val="60AE731A"/>
    <w:lvl w:ilvl="0" w:tplc="08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5242741E"/>
    <w:multiLevelType w:val="hybridMultilevel"/>
    <w:tmpl w:val="05EC7C20"/>
    <w:lvl w:ilvl="0" w:tplc="4B742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4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01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ED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07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83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49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AB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AA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06D63"/>
    <w:multiLevelType w:val="hybridMultilevel"/>
    <w:tmpl w:val="7AFA25F2"/>
    <w:lvl w:ilvl="0" w:tplc="14D2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C6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64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2C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4D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8F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66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48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D87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A5CB0"/>
    <w:multiLevelType w:val="hybridMultilevel"/>
    <w:tmpl w:val="50263D04"/>
    <w:lvl w:ilvl="0" w:tplc="33F24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8E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C2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E0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80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62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F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8D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A7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10AEC"/>
    <w:multiLevelType w:val="hybridMultilevel"/>
    <w:tmpl w:val="6C8A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0554C"/>
    <w:multiLevelType w:val="hybridMultilevel"/>
    <w:tmpl w:val="10421B80"/>
    <w:lvl w:ilvl="0" w:tplc="7BAE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46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02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47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4E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2C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A8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49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E0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E2898"/>
    <w:multiLevelType w:val="hybridMultilevel"/>
    <w:tmpl w:val="242E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C07B9"/>
    <w:multiLevelType w:val="hybridMultilevel"/>
    <w:tmpl w:val="06FC6560"/>
    <w:lvl w:ilvl="0" w:tplc="719C0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A1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CF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ED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E2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84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49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C8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EA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A7D3B"/>
    <w:multiLevelType w:val="hybridMultilevel"/>
    <w:tmpl w:val="47F04BF2"/>
    <w:lvl w:ilvl="0" w:tplc="1BC81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6F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CB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AA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67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0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4C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6E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41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F061E"/>
    <w:multiLevelType w:val="hybridMultilevel"/>
    <w:tmpl w:val="4BEA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84773"/>
    <w:multiLevelType w:val="hybridMultilevel"/>
    <w:tmpl w:val="89A0336C"/>
    <w:lvl w:ilvl="0" w:tplc="485E9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CB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0D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EF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CA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C1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48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0F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07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D6063"/>
    <w:multiLevelType w:val="hybridMultilevel"/>
    <w:tmpl w:val="76808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9D2E08"/>
    <w:multiLevelType w:val="hybridMultilevel"/>
    <w:tmpl w:val="FCF86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B0355B"/>
    <w:multiLevelType w:val="hybridMultilevel"/>
    <w:tmpl w:val="30EE64B8"/>
    <w:lvl w:ilvl="0" w:tplc="5478F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47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A0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88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82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6B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E4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03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E7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832FE"/>
    <w:multiLevelType w:val="hybridMultilevel"/>
    <w:tmpl w:val="0DCEF56E"/>
    <w:lvl w:ilvl="0" w:tplc="1DD61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21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8C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2D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EA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6B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44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66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69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F459B"/>
    <w:multiLevelType w:val="hybridMultilevel"/>
    <w:tmpl w:val="DC0E8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D744B4"/>
    <w:multiLevelType w:val="hybridMultilevel"/>
    <w:tmpl w:val="C422BE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1D493D"/>
    <w:multiLevelType w:val="hybridMultilevel"/>
    <w:tmpl w:val="00D67C10"/>
    <w:lvl w:ilvl="0" w:tplc="DB7CC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E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42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28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E9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6E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C1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CA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C3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0"/>
  </w:num>
  <w:num w:numId="5">
    <w:abstractNumId w:val="31"/>
  </w:num>
  <w:num w:numId="6">
    <w:abstractNumId w:val="29"/>
  </w:num>
  <w:num w:numId="7">
    <w:abstractNumId w:val="2"/>
  </w:num>
  <w:num w:numId="8">
    <w:abstractNumId w:val="16"/>
  </w:num>
  <w:num w:numId="9">
    <w:abstractNumId w:val="1"/>
  </w:num>
  <w:num w:numId="10">
    <w:abstractNumId w:val="32"/>
  </w:num>
  <w:num w:numId="11">
    <w:abstractNumId w:val="27"/>
  </w:num>
  <w:num w:numId="12">
    <w:abstractNumId w:val="37"/>
  </w:num>
  <w:num w:numId="13">
    <w:abstractNumId w:val="38"/>
  </w:num>
  <w:num w:numId="14">
    <w:abstractNumId w:val="26"/>
  </w:num>
  <w:num w:numId="15">
    <w:abstractNumId w:val="41"/>
  </w:num>
  <w:num w:numId="16">
    <w:abstractNumId w:val="4"/>
  </w:num>
  <w:num w:numId="17">
    <w:abstractNumId w:val="34"/>
  </w:num>
  <w:num w:numId="18">
    <w:abstractNumId w:val="17"/>
  </w:num>
  <w:num w:numId="19">
    <w:abstractNumId w:val="6"/>
  </w:num>
  <w:num w:numId="20">
    <w:abstractNumId w:val="18"/>
  </w:num>
  <w:num w:numId="21">
    <w:abstractNumId w:val="39"/>
  </w:num>
  <w:num w:numId="22">
    <w:abstractNumId w:val="36"/>
  </w:num>
  <w:num w:numId="23">
    <w:abstractNumId w:val="40"/>
  </w:num>
  <w:num w:numId="24">
    <w:abstractNumId w:val="30"/>
  </w:num>
  <w:num w:numId="25">
    <w:abstractNumId w:val="28"/>
  </w:num>
  <w:num w:numId="26">
    <w:abstractNumId w:val="12"/>
  </w:num>
  <w:num w:numId="27">
    <w:abstractNumId w:val="15"/>
  </w:num>
  <w:num w:numId="28">
    <w:abstractNumId w:val="7"/>
  </w:num>
  <w:num w:numId="29">
    <w:abstractNumId w:val="13"/>
  </w:num>
  <w:num w:numId="30">
    <w:abstractNumId w:val="22"/>
  </w:num>
  <w:num w:numId="31">
    <w:abstractNumId w:val="11"/>
  </w:num>
  <w:num w:numId="32">
    <w:abstractNumId w:val="8"/>
  </w:num>
  <w:num w:numId="33">
    <w:abstractNumId w:val="10"/>
  </w:num>
  <w:num w:numId="34">
    <w:abstractNumId w:val="3"/>
  </w:num>
  <w:num w:numId="35">
    <w:abstractNumId w:val="23"/>
  </w:num>
  <w:num w:numId="36">
    <w:abstractNumId w:val="24"/>
  </w:num>
  <w:num w:numId="37">
    <w:abstractNumId w:val="9"/>
  </w:num>
  <w:num w:numId="38">
    <w:abstractNumId w:val="33"/>
  </w:num>
  <w:num w:numId="39">
    <w:abstractNumId w:val="35"/>
  </w:num>
  <w:num w:numId="40">
    <w:abstractNumId w:val="5"/>
  </w:num>
  <w:num w:numId="41">
    <w:abstractNumId w:val="1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03"/>
    <w:rsid w:val="000132A4"/>
    <w:rsid w:val="00045494"/>
    <w:rsid w:val="00066B96"/>
    <w:rsid w:val="000E6E7C"/>
    <w:rsid w:val="0012116A"/>
    <w:rsid w:val="00122FBD"/>
    <w:rsid w:val="001C5FCE"/>
    <w:rsid w:val="0020270D"/>
    <w:rsid w:val="00229716"/>
    <w:rsid w:val="002345BB"/>
    <w:rsid w:val="002E3F01"/>
    <w:rsid w:val="003F16BA"/>
    <w:rsid w:val="003F2FE1"/>
    <w:rsid w:val="00574184"/>
    <w:rsid w:val="005D26E4"/>
    <w:rsid w:val="00663FB5"/>
    <w:rsid w:val="006A5D0A"/>
    <w:rsid w:val="006C40EB"/>
    <w:rsid w:val="007102D6"/>
    <w:rsid w:val="00725F87"/>
    <w:rsid w:val="00734129"/>
    <w:rsid w:val="007F7EC5"/>
    <w:rsid w:val="00815336"/>
    <w:rsid w:val="00828E3F"/>
    <w:rsid w:val="00883CD7"/>
    <w:rsid w:val="008B5726"/>
    <w:rsid w:val="008C3265"/>
    <w:rsid w:val="008D5815"/>
    <w:rsid w:val="008F185A"/>
    <w:rsid w:val="009D200C"/>
    <w:rsid w:val="009F7821"/>
    <w:rsid w:val="009F782D"/>
    <w:rsid w:val="00A9403B"/>
    <w:rsid w:val="00B22D31"/>
    <w:rsid w:val="00B9354C"/>
    <w:rsid w:val="00BC47FC"/>
    <w:rsid w:val="00BE0970"/>
    <w:rsid w:val="00C06EF3"/>
    <w:rsid w:val="00C71C7B"/>
    <w:rsid w:val="00C9726C"/>
    <w:rsid w:val="00CA0BD0"/>
    <w:rsid w:val="00CC510F"/>
    <w:rsid w:val="00D011FA"/>
    <w:rsid w:val="00D068E1"/>
    <w:rsid w:val="00DE360D"/>
    <w:rsid w:val="00DE7018"/>
    <w:rsid w:val="00DF4275"/>
    <w:rsid w:val="00DF63B0"/>
    <w:rsid w:val="00E004B7"/>
    <w:rsid w:val="00E45604"/>
    <w:rsid w:val="00E54094"/>
    <w:rsid w:val="00EE023F"/>
    <w:rsid w:val="00F05AC1"/>
    <w:rsid w:val="00F14C94"/>
    <w:rsid w:val="00F23803"/>
    <w:rsid w:val="00F46746"/>
    <w:rsid w:val="00FE3214"/>
    <w:rsid w:val="00FF20BC"/>
    <w:rsid w:val="01883EEC"/>
    <w:rsid w:val="019079B5"/>
    <w:rsid w:val="01927AB3"/>
    <w:rsid w:val="01A0444E"/>
    <w:rsid w:val="01CDFFF2"/>
    <w:rsid w:val="01E36939"/>
    <w:rsid w:val="02003714"/>
    <w:rsid w:val="02073C21"/>
    <w:rsid w:val="020D042E"/>
    <w:rsid w:val="021F7481"/>
    <w:rsid w:val="02203B71"/>
    <w:rsid w:val="03724948"/>
    <w:rsid w:val="04025207"/>
    <w:rsid w:val="044224A5"/>
    <w:rsid w:val="046F084B"/>
    <w:rsid w:val="04B2F29F"/>
    <w:rsid w:val="051FBCCD"/>
    <w:rsid w:val="05B0D1BC"/>
    <w:rsid w:val="05C5099C"/>
    <w:rsid w:val="06571E38"/>
    <w:rsid w:val="0695CE0A"/>
    <w:rsid w:val="073A2F45"/>
    <w:rsid w:val="07A07983"/>
    <w:rsid w:val="08266844"/>
    <w:rsid w:val="0845080C"/>
    <w:rsid w:val="089776A8"/>
    <w:rsid w:val="08B57707"/>
    <w:rsid w:val="08F4EA80"/>
    <w:rsid w:val="09767D01"/>
    <w:rsid w:val="098AA54D"/>
    <w:rsid w:val="09B75546"/>
    <w:rsid w:val="09CE8225"/>
    <w:rsid w:val="09CF7BE6"/>
    <w:rsid w:val="09FCB1E8"/>
    <w:rsid w:val="0AC0EE3B"/>
    <w:rsid w:val="0AD46DAD"/>
    <w:rsid w:val="0B0DDDAC"/>
    <w:rsid w:val="0B46F560"/>
    <w:rsid w:val="0B7B6970"/>
    <w:rsid w:val="0BC4F161"/>
    <w:rsid w:val="0BD3ABA1"/>
    <w:rsid w:val="0BE90D87"/>
    <w:rsid w:val="0BFB20B0"/>
    <w:rsid w:val="0CBA479D"/>
    <w:rsid w:val="0D169F08"/>
    <w:rsid w:val="0D2FBF50"/>
    <w:rsid w:val="0D36619B"/>
    <w:rsid w:val="0DCEC7E6"/>
    <w:rsid w:val="0E1ABEFF"/>
    <w:rsid w:val="0E9624DD"/>
    <w:rsid w:val="0EAF2C6E"/>
    <w:rsid w:val="0EEA19D0"/>
    <w:rsid w:val="0F47DF6F"/>
    <w:rsid w:val="0F61C576"/>
    <w:rsid w:val="0F6415AF"/>
    <w:rsid w:val="0F693668"/>
    <w:rsid w:val="0FA705AE"/>
    <w:rsid w:val="10417FD8"/>
    <w:rsid w:val="1064E3B9"/>
    <w:rsid w:val="10E89CBA"/>
    <w:rsid w:val="112811EC"/>
    <w:rsid w:val="115A1A33"/>
    <w:rsid w:val="11781288"/>
    <w:rsid w:val="118F7CA0"/>
    <w:rsid w:val="1191010D"/>
    <w:rsid w:val="11EF1E75"/>
    <w:rsid w:val="12028CF6"/>
    <w:rsid w:val="124AB718"/>
    <w:rsid w:val="125F9BEB"/>
    <w:rsid w:val="1265C5D4"/>
    <w:rsid w:val="127B1F3C"/>
    <w:rsid w:val="12F83974"/>
    <w:rsid w:val="132C0CB8"/>
    <w:rsid w:val="13842518"/>
    <w:rsid w:val="13E40B20"/>
    <w:rsid w:val="1426187D"/>
    <w:rsid w:val="14B4C3FE"/>
    <w:rsid w:val="14DABDD0"/>
    <w:rsid w:val="152A20F5"/>
    <w:rsid w:val="15398DC5"/>
    <w:rsid w:val="155E7FFB"/>
    <w:rsid w:val="1563E76D"/>
    <w:rsid w:val="163E974C"/>
    <w:rsid w:val="167CF526"/>
    <w:rsid w:val="170A6DCE"/>
    <w:rsid w:val="17377131"/>
    <w:rsid w:val="176F9AF2"/>
    <w:rsid w:val="179C32C1"/>
    <w:rsid w:val="17B5AB6F"/>
    <w:rsid w:val="181346C2"/>
    <w:rsid w:val="1827B91F"/>
    <w:rsid w:val="1850E3E8"/>
    <w:rsid w:val="1905E8E6"/>
    <w:rsid w:val="192B0276"/>
    <w:rsid w:val="193DFE7D"/>
    <w:rsid w:val="19548519"/>
    <w:rsid w:val="1960D011"/>
    <w:rsid w:val="196140F4"/>
    <w:rsid w:val="1990E62A"/>
    <w:rsid w:val="19A9B52B"/>
    <w:rsid w:val="1A1A93BE"/>
    <w:rsid w:val="1A7033B8"/>
    <w:rsid w:val="1A851882"/>
    <w:rsid w:val="1AA9C6AE"/>
    <w:rsid w:val="1C3A3B7F"/>
    <w:rsid w:val="1C608FD8"/>
    <w:rsid w:val="1CA3AB81"/>
    <w:rsid w:val="1CD84845"/>
    <w:rsid w:val="1D197073"/>
    <w:rsid w:val="1D41C022"/>
    <w:rsid w:val="1D69A0DB"/>
    <w:rsid w:val="1D6A18F8"/>
    <w:rsid w:val="1D872CA5"/>
    <w:rsid w:val="1D92A303"/>
    <w:rsid w:val="1D9D68C6"/>
    <w:rsid w:val="1DAD64BF"/>
    <w:rsid w:val="1DCE1584"/>
    <w:rsid w:val="1E02799C"/>
    <w:rsid w:val="1E16C365"/>
    <w:rsid w:val="1EA62941"/>
    <w:rsid w:val="1EAE8A94"/>
    <w:rsid w:val="1EB652F3"/>
    <w:rsid w:val="1ECACADC"/>
    <w:rsid w:val="1ED5CB33"/>
    <w:rsid w:val="1F1BE3BD"/>
    <w:rsid w:val="1FD73B2D"/>
    <w:rsid w:val="200317DB"/>
    <w:rsid w:val="20355578"/>
    <w:rsid w:val="20959C4D"/>
    <w:rsid w:val="20990494"/>
    <w:rsid w:val="20DA8E03"/>
    <w:rsid w:val="214C651A"/>
    <w:rsid w:val="2185EF5B"/>
    <w:rsid w:val="2228B80B"/>
    <w:rsid w:val="22963F40"/>
    <w:rsid w:val="22B00E85"/>
    <w:rsid w:val="22B31BD0"/>
    <w:rsid w:val="23586A13"/>
    <w:rsid w:val="23C19AD6"/>
    <w:rsid w:val="23E72EE4"/>
    <w:rsid w:val="241010FC"/>
    <w:rsid w:val="24B3F915"/>
    <w:rsid w:val="24F74CAD"/>
    <w:rsid w:val="24F8A9C8"/>
    <w:rsid w:val="2529BF8D"/>
    <w:rsid w:val="25F34838"/>
    <w:rsid w:val="262CF39B"/>
    <w:rsid w:val="2677BB5F"/>
    <w:rsid w:val="268DBF08"/>
    <w:rsid w:val="269A4FB0"/>
    <w:rsid w:val="26E6BAEB"/>
    <w:rsid w:val="270EA501"/>
    <w:rsid w:val="273BD633"/>
    <w:rsid w:val="2740ACA8"/>
    <w:rsid w:val="28051D3F"/>
    <w:rsid w:val="28251FDD"/>
    <w:rsid w:val="2850A116"/>
    <w:rsid w:val="287BB107"/>
    <w:rsid w:val="291ABA5C"/>
    <w:rsid w:val="2945CDA5"/>
    <w:rsid w:val="297C441E"/>
    <w:rsid w:val="29C868FB"/>
    <w:rsid w:val="2A111A9A"/>
    <w:rsid w:val="2A8EC675"/>
    <w:rsid w:val="2B3EB0FA"/>
    <w:rsid w:val="2B54D15A"/>
    <w:rsid w:val="2BD19E7C"/>
    <w:rsid w:val="2C0FF441"/>
    <w:rsid w:val="2C125965"/>
    <w:rsid w:val="2CAE8EC6"/>
    <w:rsid w:val="2CB1E7A0"/>
    <w:rsid w:val="2CEADA31"/>
    <w:rsid w:val="2D7BA564"/>
    <w:rsid w:val="2DAE885B"/>
    <w:rsid w:val="2DBF096B"/>
    <w:rsid w:val="2DEB80C5"/>
    <w:rsid w:val="2E07623D"/>
    <w:rsid w:val="2E18AABA"/>
    <w:rsid w:val="2E1FC600"/>
    <w:rsid w:val="2E2A3306"/>
    <w:rsid w:val="2E5BB0F5"/>
    <w:rsid w:val="2E657D9D"/>
    <w:rsid w:val="2E6698ED"/>
    <w:rsid w:val="2E8BCAE7"/>
    <w:rsid w:val="2EB7349F"/>
    <w:rsid w:val="2F5BC16C"/>
    <w:rsid w:val="2F87B821"/>
    <w:rsid w:val="2F880338"/>
    <w:rsid w:val="2F96A8E7"/>
    <w:rsid w:val="301E21C7"/>
    <w:rsid w:val="30A8F649"/>
    <w:rsid w:val="30EDF2F4"/>
    <w:rsid w:val="30FA4E20"/>
    <w:rsid w:val="3118E30F"/>
    <w:rsid w:val="31EAE68A"/>
    <w:rsid w:val="3214A022"/>
    <w:rsid w:val="32482A78"/>
    <w:rsid w:val="3262D5C9"/>
    <w:rsid w:val="32E0F72B"/>
    <w:rsid w:val="32FA5062"/>
    <w:rsid w:val="33102C7F"/>
    <w:rsid w:val="337BF7E9"/>
    <w:rsid w:val="33FF8DCA"/>
    <w:rsid w:val="340A53B6"/>
    <w:rsid w:val="34EE528C"/>
    <w:rsid w:val="35076671"/>
    <w:rsid w:val="354D4499"/>
    <w:rsid w:val="361E6FEA"/>
    <w:rsid w:val="36470347"/>
    <w:rsid w:val="3673F5A2"/>
    <w:rsid w:val="369C63BF"/>
    <w:rsid w:val="36DB6A7E"/>
    <w:rsid w:val="36EB3522"/>
    <w:rsid w:val="37A100FF"/>
    <w:rsid w:val="37C1C3E5"/>
    <w:rsid w:val="37F1825C"/>
    <w:rsid w:val="3800D46E"/>
    <w:rsid w:val="380AC96E"/>
    <w:rsid w:val="385451E6"/>
    <w:rsid w:val="38980DF5"/>
    <w:rsid w:val="38FDF3A4"/>
    <w:rsid w:val="395FC9F0"/>
    <w:rsid w:val="39609089"/>
    <w:rsid w:val="396F72AC"/>
    <w:rsid w:val="39BC8EA6"/>
    <w:rsid w:val="39C8E43F"/>
    <w:rsid w:val="39D229EA"/>
    <w:rsid w:val="39E1F20C"/>
    <w:rsid w:val="3A589D81"/>
    <w:rsid w:val="3AA0C3C2"/>
    <w:rsid w:val="3ACE0D6D"/>
    <w:rsid w:val="3B2C6789"/>
    <w:rsid w:val="3B575F51"/>
    <w:rsid w:val="3BAB2DC8"/>
    <w:rsid w:val="3BC4FD00"/>
    <w:rsid w:val="3BEE4B80"/>
    <w:rsid w:val="3C8BF11E"/>
    <w:rsid w:val="3CAC89D8"/>
    <w:rsid w:val="3CC993B2"/>
    <w:rsid w:val="3CEB8388"/>
    <w:rsid w:val="3D171F35"/>
    <w:rsid w:val="3D4B5E1F"/>
    <w:rsid w:val="3D60489B"/>
    <w:rsid w:val="3D7264CD"/>
    <w:rsid w:val="3DDD5822"/>
    <w:rsid w:val="3E1D068C"/>
    <w:rsid w:val="3E215EDC"/>
    <w:rsid w:val="3E2B578B"/>
    <w:rsid w:val="3E388FDB"/>
    <w:rsid w:val="3E42DCC7"/>
    <w:rsid w:val="3E5C9017"/>
    <w:rsid w:val="3E7D1AAD"/>
    <w:rsid w:val="3EC2C7AD"/>
    <w:rsid w:val="3F39E50E"/>
    <w:rsid w:val="3FB5B6A1"/>
    <w:rsid w:val="3FE72A44"/>
    <w:rsid w:val="40188466"/>
    <w:rsid w:val="40B7714B"/>
    <w:rsid w:val="40C38870"/>
    <w:rsid w:val="414B40C7"/>
    <w:rsid w:val="4164ADAC"/>
    <w:rsid w:val="41EE32E1"/>
    <w:rsid w:val="4200A5DD"/>
    <w:rsid w:val="426ED472"/>
    <w:rsid w:val="4278DF75"/>
    <w:rsid w:val="428E99D4"/>
    <w:rsid w:val="42B126C1"/>
    <w:rsid w:val="42F7F138"/>
    <w:rsid w:val="430FDF9A"/>
    <w:rsid w:val="436F63DB"/>
    <w:rsid w:val="43850324"/>
    <w:rsid w:val="43D20BF3"/>
    <w:rsid w:val="43DAB315"/>
    <w:rsid w:val="442426B3"/>
    <w:rsid w:val="44A5F0EF"/>
    <w:rsid w:val="44DD7F90"/>
    <w:rsid w:val="45576B3D"/>
    <w:rsid w:val="456AFA13"/>
    <w:rsid w:val="459D8589"/>
    <w:rsid w:val="461A0182"/>
    <w:rsid w:val="461A7E1C"/>
    <w:rsid w:val="461C10C0"/>
    <w:rsid w:val="46AEF520"/>
    <w:rsid w:val="46BF5FFC"/>
    <w:rsid w:val="473EAF08"/>
    <w:rsid w:val="475673C5"/>
    <w:rsid w:val="4765752C"/>
    <w:rsid w:val="476BC147"/>
    <w:rsid w:val="477047E5"/>
    <w:rsid w:val="477D7DE7"/>
    <w:rsid w:val="48135BC2"/>
    <w:rsid w:val="485C359B"/>
    <w:rsid w:val="4886C8A0"/>
    <w:rsid w:val="4892100C"/>
    <w:rsid w:val="48C0C79A"/>
    <w:rsid w:val="49183F87"/>
    <w:rsid w:val="493AEA12"/>
    <w:rsid w:val="49F65EAE"/>
    <w:rsid w:val="4A1B3484"/>
    <w:rsid w:val="4A781ED2"/>
    <w:rsid w:val="4AD5016C"/>
    <w:rsid w:val="4B02F4BF"/>
    <w:rsid w:val="4B241ECA"/>
    <w:rsid w:val="4BB71128"/>
    <w:rsid w:val="4BCC7F1A"/>
    <w:rsid w:val="4C1E159B"/>
    <w:rsid w:val="4C56CFC1"/>
    <w:rsid w:val="4C5D5FCE"/>
    <w:rsid w:val="4C834659"/>
    <w:rsid w:val="4CC4BEC7"/>
    <w:rsid w:val="4CFEE5C6"/>
    <w:rsid w:val="4D6D5BDE"/>
    <w:rsid w:val="4D935660"/>
    <w:rsid w:val="4DB51B15"/>
    <w:rsid w:val="4DC43BE1"/>
    <w:rsid w:val="4DE7BB00"/>
    <w:rsid w:val="4E2DF235"/>
    <w:rsid w:val="4E32F132"/>
    <w:rsid w:val="4E4539B8"/>
    <w:rsid w:val="4E542DA3"/>
    <w:rsid w:val="4E774D04"/>
    <w:rsid w:val="4E81C634"/>
    <w:rsid w:val="4ED1E8A3"/>
    <w:rsid w:val="4F0F17F9"/>
    <w:rsid w:val="4F20FC3F"/>
    <w:rsid w:val="4FF810FB"/>
    <w:rsid w:val="50104DA2"/>
    <w:rsid w:val="504A0283"/>
    <w:rsid w:val="50931628"/>
    <w:rsid w:val="509F83E6"/>
    <w:rsid w:val="50C26574"/>
    <w:rsid w:val="50DDDFD8"/>
    <w:rsid w:val="5103916E"/>
    <w:rsid w:val="51172A13"/>
    <w:rsid w:val="51323C98"/>
    <w:rsid w:val="5134411B"/>
    <w:rsid w:val="51517A5C"/>
    <w:rsid w:val="518AD337"/>
    <w:rsid w:val="51991E04"/>
    <w:rsid w:val="52671833"/>
    <w:rsid w:val="52BC9852"/>
    <w:rsid w:val="52F644B6"/>
    <w:rsid w:val="530C9D99"/>
    <w:rsid w:val="53601908"/>
    <w:rsid w:val="53E8CB66"/>
    <w:rsid w:val="54486B7E"/>
    <w:rsid w:val="54A037E2"/>
    <w:rsid w:val="54EA34A8"/>
    <w:rsid w:val="5533D543"/>
    <w:rsid w:val="5544C976"/>
    <w:rsid w:val="5548E347"/>
    <w:rsid w:val="555496DD"/>
    <w:rsid w:val="55F32386"/>
    <w:rsid w:val="5602C9D4"/>
    <w:rsid w:val="56154A4F"/>
    <w:rsid w:val="565CEAB3"/>
    <w:rsid w:val="56911811"/>
    <w:rsid w:val="56B1228D"/>
    <w:rsid w:val="56B7E933"/>
    <w:rsid w:val="56ECCD20"/>
    <w:rsid w:val="575A3985"/>
    <w:rsid w:val="57D08841"/>
    <w:rsid w:val="57D73D4F"/>
    <w:rsid w:val="57E1EE7C"/>
    <w:rsid w:val="58027680"/>
    <w:rsid w:val="5814FF7C"/>
    <w:rsid w:val="582DC55B"/>
    <w:rsid w:val="5858932B"/>
    <w:rsid w:val="585C245B"/>
    <w:rsid w:val="58744BF1"/>
    <w:rsid w:val="588B4568"/>
    <w:rsid w:val="588B748A"/>
    <w:rsid w:val="58CDD406"/>
    <w:rsid w:val="58F87AE9"/>
    <w:rsid w:val="58FF7C73"/>
    <w:rsid w:val="5900D6A8"/>
    <w:rsid w:val="593515CC"/>
    <w:rsid w:val="5958EFC8"/>
    <w:rsid w:val="59623948"/>
    <w:rsid w:val="59AC9397"/>
    <w:rsid w:val="59C39660"/>
    <w:rsid w:val="59D5A3CE"/>
    <w:rsid w:val="5A1DCCE6"/>
    <w:rsid w:val="5AE70D1D"/>
    <w:rsid w:val="5AF206FE"/>
    <w:rsid w:val="5BBECEC1"/>
    <w:rsid w:val="5BD520CA"/>
    <w:rsid w:val="5C1AABF1"/>
    <w:rsid w:val="5C5885B4"/>
    <w:rsid w:val="5C5B47DE"/>
    <w:rsid w:val="5C77C064"/>
    <w:rsid w:val="5D4FCA4E"/>
    <w:rsid w:val="5D9715E8"/>
    <w:rsid w:val="5DC5F6C3"/>
    <w:rsid w:val="5DE9E4BC"/>
    <w:rsid w:val="5E1BEB0D"/>
    <w:rsid w:val="5E294CBE"/>
    <w:rsid w:val="5E605C28"/>
    <w:rsid w:val="5E8FBCE0"/>
    <w:rsid w:val="5EBF08F5"/>
    <w:rsid w:val="5F372242"/>
    <w:rsid w:val="5F66C837"/>
    <w:rsid w:val="5F881417"/>
    <w:rsid w:val="5FCFF699"/>
    <w:rsid w:val="6027B1E4"/>
    <w:rsid w:val="604D72AD"/>
    <w:rsid w:val="609A6F1D"/>
    <w:rsid w:val="60CC831E"/>
    <w:rsid w:val="60E82D83"/>
    <w:rsid w:val="6100912F"/>
    <w:rsid w:val="61349889"/>
    <w:rsid w:val="6141DE6B"/>
    <w:rsid w:val="61456276"/>
    <w:rsid w:val="614D07C2"/>
    <w:rsid w:val="61E4AB0B"/>
    <w:rsid w:val="62097AA9"/>
    <w:rsid w:val="62567CF9"/>
    <w:rsid w:val="62D32EDE"/>
    <w:rsid w:val="631AA563"/>
    <w:rsid w:val="63319B3B"/>
    <w:rsid w:val="6338A866"/>
    <w:rsid w:val="638CC198"/>
    <w:rsid w:val="63D08B9F"/>
    <w:rsid w:val="6413E2AE"/>
    <w:rsid w:val="64298866"/>
    <w:rsid w:val="644B8CF1"/>
    <w:rsid w:val="64748EB3"/>
    <w:rsid w:val="64A44A19"/>
    <w:rsid w:val="64B4BDBD"/>
    <w:rsid w:val="65021828"/>
    <w:rsid w:val="6571E8F6"/>
    <w:rsid w:val="658D353B"/>
    <w:rsid w:val="65A241C5"/>
    <w:rsid w:val="65B0E864"/>
    <w:rsid w:val="66132E0C"/>
    <w:rsid w:val="662FB4C1"/>
    <w:rsid w:val="669CEEE3"/>
    <w:rsid w:val="66C37CE0"/>
    <w:rsid w:val="670B8538"/>
    <w:rsid w:val="674BEB66"/>
    <w:rsid w:val="679FF15E"/>
    <w:rsid w:val="6856655D"/>
    <w:rsid w:val="6882A546"/>
    <w:rsid w:val="68C5848E"/>
    <w:rsid w:val="68FFDAA4"/>
    <w:rsid w:val="694AE105"/>
    <w:rsid w:val="69B870A3"/>
    <w:rsid w:val="69F43F21"/>
    <w:rsid w:val="69F8DEF2"/>
    <w:rsid w:val="6A42D36E"/>
    <w:rsid w:val="6A4ECB1B"/>
    <w:rsid w:val="6AC808A6"/>
    <w:rsid w:val="6B152C00"/>
    <w:rsid w:val="6BA3EE62"/>
    <w:rsid w:val="6BBCBF3B"/>
    <w:rsid w:val="6C36894C"/>
    <w:rsid w:val="6C66AC8D"/>
    <w:rsid w:val="6CA082B9"/>
    <w:rsid w:val="6CAC06D4"/>
    <w:rsid w:val="6CB1EB8A"/>
    <w:rsid w:val="6D4DCB52"/>
    <w:rsid w:val="6D81B9A7"/>
    <w:rsid w:val="6DACB2F6"/>
    <w:rsid w:val="6DC9E019"/>
    <w:rsid w:val="6DDEB45F"/>
    <w:rsid w:val="6E4B20FE"/>
    <w:rsid w:val="6EEA3F74"/>
    <w:rsid w:val="6F33C7F9"/>
    <w:rsid w:val="6F74B067"/>
    <w:rsid w:val="70116CC8"/>
    <w:rsid w:val="7011EDDE"/>
    <w:rsid w:val="704B2A65"/>
    <w:rsid w:val="7067FC99"/>
    <w:rsid w:val="711852CC"/>
    <w:rsid w:val="71273C42"/>
    <w:rsid w:val="7172405A"/>
    <w:rsid w:val="721FD5E7"/>
    <w:rsid w:val="724BCE73"/>
    <w:rsid w:val="72748454"/>
    <w:rsid w:val="72971635"/>
    <w:rsid w:val="72D9FBB9"/>
    <w:rsid w:val="7311E091"/>
    <w:rsid w:val="7382F10F"/>
    <w:rsid w:val="739B2085"/>
    <w:rsid w:val="7404873B"/>
    <w:rsid w:val="740C80A3"/>
    <w:rsid w:val="741E1BC3"/>
    <w:rsid w:val="742F0EDC"/>
    <w:rsid w:val="743D7834"/>
    <w:rsid w:val="74DACECB"/>
    <w:rsid w:val="75135D8D"/>
    <w:rsid w:val="7542BCC6"/>
    <w:rsid w:val="75823892"/>
    <w:rsid w:val="75E4BA7F"/>
    <w:rsid w:val="75F883A5"/>
    <w:rsid w:val="766E928C"/>
    <w:rsid w:val="76A0CA1B"/>
    <w:rsid w:val="76D4FE3B"/>
    <w:rsid w:val="76DB817D"/>
    <w:rsid w:val="76FA5689"/>
    <w:rsid w:val="7817A969"/>
    <w:rsid w:val="78CC128F"/>
    <w:rsid w:val="78D97974"/>
    <w:rsid w:val="790F8489"/>
    <w:rsid w:val="794222AF"/>
    <w:rsid w:val="798C38F4"/>
    <w:rsid w:val="79E3A479"/>
    <w:rsid w:val="7A0CE15C"/>
    <w:rsid w:val="7A12F905"/>
    <w:rsid w:val="7A427206"/>
    <w:rsid w:val="7AA13A90"/>
    <w:rsid w:val="7ABA4F25"/>
    <w:rsid w:val="7AC69191"/>
    <w:rsid w:val="7B139181"/>
    <w:rsid w:val="7B64210A"/>
    <w:rsid w:val="7BA27022"/>
    <w:rsid w:val="7BABCBDF"/>
    <w:rsid w:val="7BDB1CA9"/>
    <w:rsid w:val="7C20BFFA"/>
    <w:rsid w:val="7C725B2E"/>
    <w:rsid w:val="7C735A2A"/>
    <w:rsid w:val="7CA708BE"/>
    <w:rsid w:val="7CB1EBE6"/>
    <w:rsid w:val="7CDC0921"/>
    <w:rsid w:val="7D4ADB0A"/>
    <w:rsid w:val="7D5592EC"/>
    <w:rsid w:val="7DCFFEB0"/>
    <w:rsid w:val="7E1F202C"/>
    <w:rsid w:val="7E2DBFD0"/>
    <w:rsid w:val="7E300E1E"/>
    <w:rsid w:val="7EFB5740"/>
    <w:rsid w:val="7FF3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C1D6"/>
  <w15:chartTrackingRefBased/>
  <w15:docId w15:val="{57F62854-8CF6-4414-A497-23731A29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803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3803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3803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3803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23803"/>
    <w:rPr>
      <w:rFonts w:ascii="Times New Roman" w:eastAsia="Times New Roman" w:hAnsi="Times New Roman" w:cs="Times New Roman"/>
      <w:b/>
      <w:bCs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F23803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F23803"/>
    <w:rPr>
      <w:rFonts w:ascii="Times New Roman" w:eastAsia="Times New Roman" w:hAnsi="Times New Roman" w:cs="Times New Roman"/>
      <w:b/>
      <w:bCs/>
      <w:color w:val="000000"/>
      <w:sz w:val="20"/>
    </w:rPr>
  </w:style>
  <w:style w:type="paragraph" w:styleId="Caption">
    <w:name w:val="caption"/>
    <w:basedOn w:val="Normal"/>
    <w:next w:val="Normal"/>
    <w:unhideWhenUsed/>
    <w:qFormat/>
    <w:rsid w:val="00F23803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Title">
    <w:name w:val="Title"/>
    <w:basedOn w:val="Normal"/>
    <w:link w:val="TitleChar"/>
    <w:qFormat/>
    <w:rsid w:val="00F23803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F23803"/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F23803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23803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F23803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23803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F23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238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F23803"/>
    <w:pPr>
      <w:ind w:left="720"/>
      <w:contextualSpacing/>
    </w:pPr>
    <w:rPr>
      <w:rFonts w:ascii="Times New Roman" w:eastAsia="PMingLiU" w:hAnsi="Times New Roman" w:cs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2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0970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427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0D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0270D"/>
    <w:pPr>
      <w:spacing w:after="0" w:line="240" w:lineRule="auto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coronavirus" TargetMode="External"/><Relationship Id="rId18" Type="http://schemas.openxmlformats.org/officeDocument/2006/relationships/hyperlink" Target="https://www.gov.uk/coronaviru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sufinance@bath.ac.uk" TargetMode="External"/><Relationship Id="rId17" Type="http://schemas.openxmlformats.org/officeDocument/2006/relationships/hyperlink" Target="https://www.gov.uk/government/publications/coronavirus-covid-19-guidance-on-phased-return-of-sport-and-recreation/return-to-recreational-team-sport-framewo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coronavirus-covid-19-guidance-on-phased-return-of-sport-and-recreati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onditions/coronavirus-covid-19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guidance/working-safely-during-coronavirus-covid-19/performing-art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gov.uk/coronavir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F82C5F24AA9439A54BB6FC79B22E8" ma:contentTypeVersion="4" ma:contentTypeDescription="Create a new document." ma:contentTypeScope="" ma:versionID="e14ff43137dcd82313285e8cd92ee219">
  <xsd:schema xmlns:xsd="http://www.w3.org/2001/XMLSchema" xmlns:xs="http://www.w3.org/2001/XMLSchema" xmlns:p="http://schemas.microsoft.com/office/2006/metadata/properties" xmlns:ns2="be123596-ca1e-476a-9c22-78ba7e4523fe" targetNamespace="http://schemas.microsoft.com/office/2006/metadata/properties" ma:root="true" ma:fieldsID="bd52df2cb93ba322ce06bd26b367b8b0" ns2:_="">
    <xsd:import namespace="be123596-ca1e-476a-9c22-78ba7e4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23596-ca1e-476a-9c22-78ba7e452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95F09-DC4B-4912-A012-172F698C5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23596-ca1e-476a-9c22-78ba7e4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C8654-DC33-495F-9E06-9995489D73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C67404-3200-460C-BDFF-80BDE04F88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Farrington</dc:creator>
  <cp:keywords/>
  <dc:description/>
  <cp:lastModifiedBy>Steven Stanhope</cp:lastModifiedBy>
  <cp:revision>2</cp:revision>
  <dcterms:created xsi:type="dcterms:W3CDTF">2021-09-27T14:55:00Z</dcterms:created>
  <dcterms:modified xsi:type="dcterms:W3CDTF">2021-09-27T14:55:00Z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0x0101006CCF82C5F24AA9439A54BB6FC79B22E8</vt:lpwstr>
  </property>
</Properties>
</file>