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FA9" w:rsidRDefault="000109DB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6D">
        <w:t>S</w:t>
      </w:r>
      <w:r w:rsidR="00141FA9">
        <w:t>ection 1: Risk Assessment Guidance</w:t>
      </w:r>
      <w:bookmarkEnd w:id="0"/>
    </w:p>
    <w:p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(eg discomfort, slight bruising, self-help recovery)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:rsidR="00141FA9" w:rsidRDefault="00141FA9">
      <w:pPr>
        <w:rPr>
          <w:color w:val="FFFFFF"/>
          <w:sz w:val="4"/>
          <w:szCs w:val="22"/>
        </w:rPr>
      </w:pPr>
    </w:p>
    <w:p w:rsidR="00141FA9" w:rsidRDefault="000109DB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akGF6gEAAM4DAAAOAAAAZHJzL2Uyb0RvYy54bWysU8GO0zAQvSPxD9bcaZKq3S1R3RXs&#13;&#10;qghpYVda+ADHsZMIx2M8bpPy9chOSgvcED6MxjPPzzPP4+3d2Bt2VJ46tByKRQ5MWYl1ZxsOX7/s&#13;&#10;32yAURC2Fgat4nBSBHe716+2gyvVEls0tfJs7I2lcnAc2hBcmWUkW9ULWqBTduyNRt+LQAv0TVZ7&#13;&#10;MXS26U22zPObbEBfO49SEXW2eZiSsEv8WisZnrQmFZjhkAMLyfpkq2Sz3VaUjReu7eRch/iHMnrR&#13;&#10;WbiiehBBsIPv/qLqO+mRUIeFxD5DrTupUhPZMi/yP9p5aYVTqRkqB3K/dKL/Rys/H1/cs2dhfI8j&#13;&#10;hyI1Qe4R5Tdi2W6bDY7KGRRVpZIivBo+Ya04iEPAdGTUvmceA4ci3+RxpTBqzcYk9OkitxoDkyOH&#13;&#10;5bpYb25zYPLE4WZzm0c/3inKSBfldJ7CB4U9iw4Hr2RIvOL4SGHGnjERT2i6et8Zkza+qe6NZ0dh&#13;&#10;OOzTOvP/hjM2oi3GczPnFFJpgs43nZufZAhjNUZwjFZYn5791H4O8T8EDi36H8AGLxwH+n4QXgEz&#13;&#10;Hy1xeFusVnEY02a1vl3mwPx1prrOCCtb9BwCsMm9D2mAp5rfHQLqbpLiUsr8bgO5pOY833Eor/cJ&#13;&#10;dfmGu58AAAD//wMAUEsDBBQABgAIAAAAIQDsiu/M5AAAAA4BAAAPAAAAZHJzL2Rvd25yZXYueG1s&#13;&#10;TM/LToNAFADQvYn/MLlNupMBKwQpl8a00Y2JRnTR5ZS5DsR5IDOU6d8bV/oBZ3HqXTSanWnyg7MI&#13;&#10;WZICI9s5OViF8PH+eFMC80FYKbSzhHAhD7vm+qoWlXSLfaNzGxSLRltfCYQ+hLHi3Hc9GeETN5KN&#13;&#10;Rn+6yYjgEzcpLiexDFYZzW/TtOBGDBaY78VI+566r3Y2CLPMD/Hl8nSk4/ezmjf3+0W8tojrVTxs&#13;&#10;16v4sAUWKIY/Ab8HhAyaWlQnN1vpmUbIirsNsIBQAJsQ8iLNgZ0QsrQsgfGm5v8bzQ8AAAD//wMA&#13;&#10;UEsBAi0AFAAGAAgAAAAhAFoik6P/AAAA5QEAABMAAAAAAAAAAAAAAAAAAAAAAFtDb250ZW50X1R5&#13;&#10;cGVzXS54bWxQSwECLQAUAAYACAAAACEAp0rPONgAAACWAQAACwAAAAAAAAAAAAAAAAAwAQAAX3Jl&#13;&#10;bHMvLnJlbHNQSwECLQAUAAYACAAAACEASGpBheoBAADOAwAADgAAAAAAAAAAAAAAAAAxAgAAZHJz&#13;&#10;L2Uyb0RvYy54bWxQSwECLQAUAAYACAAAACEA7IrvzOQAAAAOAQAADwAAAAAAAAAAAAAAAABHBAAA&#13;&#10;ZHJzL2Rvd25yZXYueG1sUEsFBgAAAAAEAAQA8wAAAFgFAAAAAA==&#13;&#10;" stroked="f" strokecolor="#3465a4">
                <v:stroke joinstyle="round"/>
                <v:path arrowok="t"/>
                <v:textbox>
                  <w:txbxContent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:rsidR="00141FA9" w:rsidRDefault="00141FA9">
      <w:pPr>
        <w:ind w:firstLine="720"/>
        <w:rPr>
          <w:sz w:val="10"/>
        </w:rPr>
      </w:pPr>
    </w:p>
    <w:p w:rsidR="00141FA9" w:rsidRDefault="000109DB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hl773QEAALQDAAAOAAAAZHJzL2Uyb0RvYy54bWysU8Fu1DAQvSPxD5bvbLJBLW203gpa&#13;&#10;FSEVqFT4AMexEwvHY2a8myxfj+wkbIEbIofRTPL8Zt7LeHczDY4dNZIFL/h2U3KmvYLW+k7wr1/u&#13;&#10;X11xRlH6VjrwWvCTJn6zf/liN4ZaV9CDazWyaXCe6jEI3scY6qIg1etB0gaC9tPgDOAgI20Au6JF&#13;&#10;OVrfDa6oyvKyGAHbgKA0kfXd3fyR7zO/MVrFz8aQjswJXnIWc8QcmxyL/U7WHcrQW7XMIf9hjEFa&#13;&#10;z59R3cko2QHtX1SDVQgEJm4UDAUYY5XOIoqq3JZ/yHnqZdBZDNUjhV8+0f+jVZ+OT+ERWZzewST4&#13;&#10;Noug8ADqG7FivyvGQPUCSq5STQnejB+h1YLLQ4R8ZDI4JP1gDJuys6ezv3qKTE2CX5TVm+r6gjN1&#13;&#10;Ery6un59mYrURdYrQUCK7zUMLCWCo1YxN5DHB4oLdsWkhgTOtvfWuVxg19w6ZEfpBL/Pz8r/G875&#13;&#10;hPaQzi2c6VUWm/TNSuPUTMy2yZUESuIbaE+PyBDmTTpqjIL3gD84G1EGwen7QaLmzH3wlA2Ia4Jr&#13;&#10;0qyJ9KoHFDxyNqe3cV7NQ0Db9XH9HR7eHiIYO8s/j7EMPFLIDi5bnFbveZ1R58u2/wkAAP//AwBQ&#13;&#10;SwMEFAAGAAgAAAAhALnIJPrkAAAADwEAAA8AAABkcnMvZG93bnJldi54bWxMz81ugkAUQOF9k77D&#13;&#10;zTVxVwYqP4oMpmnTmHRjRB9ghBGIM3cIM8j49o2rdn1yFl+x81rBXY62N8QxCkIESbVpemo5nk/f&#13;&#10;b2sE6wQ1QhmSHB/S4q58fSlE3piZjvJeuRa8VmRzwbFzbsgZs3UntbCBGSR5ra5m1MLZwIwta0Yx&#13;&#10;99Rqxd7DMGVa9IRgOzHIz07Wt2rSHPuMop+pij2L5s35dOj2h8e053y58F/b5cJ/bBGc9O7vwKeB&#13;&#10;Y4RlIfKLmaixoDhmcbZGcBxThGdOVpsE4cIxTtIVAisL9t9R/gIAAP//AwBQSwECLQAUAAYACAAA&#13;&#10;ACEAWiKTo/8AAADlAQAAEwAAAAAAAAAAAAAAAAAAAAAAW0NvbnRlbnRfVHlwZXNdLnhtbFBLAQIt&#13;&#10;ABQABgAIAAAAIQCnSs842AAAAJYBAAALAAAAAAAAAAAAAAAAADABAABfcmVscy8ucmVsc1BLAQIt&#13;&#10;ABQABgAIAAAAIQAAhl773QEAALQDAAAOAAAAAAAAAAAAAAAAADECAABkcnMvZTJvRG9jLnhtbFBL&#13;&#10;AQItABQABgAIAAAAIQC5yCT65AAAAA8BAAAPAAAAAAAAAAAAAAAAADoEAABkcnMvZG93bnJldi54&#13;&#10;bWxQSwUGAAAAAAQABADzAAAASwUAAAAA&#13;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:rsidR="00141FA9" w:rsidRDefault="00141FA9">
      <w:pPr>
        <w:rPr>
          <w:sz w:val="14"/>
          <w:lang w:eastAsia="en-GB"/>
        </w:rPr>
      </w:pPr>
    </w:p>
    <w:p w:rsidR="00141FA9" w:rsidRDefault="000109DB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D6Hl3gEAALMDAAAOAAAAZHJzL2Uyb0RvYy54bWysk8GO0zAQhu9IvIM1d5q0UlclqrOC&#13;&#10;XRUhLbDSwgM4jpNYOB4z4zYpT4/iNNsFbogcRuPk9+/5JuP97dg7cTLEFr2E9SoHYbzG2vpWwrev&#13;&#10;hzc7EByVr5VDbyScDcNt+frVfgiF2WCHrjYkxt55LoYgoYsxFFnGujO94hUG48feNUi9irxCarOa&#13;&#10;1GB927tsk+c32YBUB0JtmK1v7+ePUCb/pjE6fmkaNlE4CTmImCKlWKWYlXtVtKRCZ/WlDvUPZfTK&#13;&#10;enhhda+iEkeyf1n1VhMyNnGlsc+waaw2CSLb5Ov8D5ynTgWTYLgYODz3if+frf58egqPJOL4HkcJ&#13;&#10;6wTB4QH1dxZZuc+GwMVFNHWVC57k1fAJayNBHSOmLWND/cSPTSPG1Nnztb9mjEKPEm522/XNFoQ+&#13;&#10;S9hsd7vd2y2kQ1Sx7A/E8YPBXkyJBDI6Jn91euB40S6a6TxGZ+uDdS4tqK3uHImTchIO6Vn8f9M5&#13;&#10;P6k9TvsuntOrxDrhzaBxrEZhawmbZDKxV1ifH0kQzoN0MhQldEg/QQykggT+cVRkQLiPnhN/XBJa&#13;&#10;kmpJlNcdkoQIYk7v4jyZx0C27eLyNzy+O0Zs7Ix/LeNS8MCh3GfPQzxN3st1Ul3vWvkLAAD//wMA&#13;&#10;UEsDBBQABgAIAAAAIQCWZbvO4wAAAA4BAAAPAAAAZHJzL2Rvd25yZXYueG1sTM9BTsMwEEDRPRJ3&#13;&#10;GE2l7ojjUGhJM6kQCFViU5H2AG5ikgh7HMVO494edQXrr794xS5aAxc9+t4xoUxSBM21a3puCU/H&#13;&#10;j4cNgg+KG2Uca8Kr9rgr7+8KlTdu5i99qUIL0Rr2uSLsQhhyIXzdaat84gbN0ZpvN1oVfOLGVjSj&#13;&#10;mnturRFZmj4Lq3pG8J0a9Fun659qsoT9muXnVK2ikPPL6Xjo9ofrtCdaLuL7drmIr1uEoGP4O/Bm&#13;&#10;IJRYFio/u4kbD4YwSx8RAuF6hXDL2SZDOBOu5JNEEGUh/jPKXwAAAP//AwBQSwECLQAUAAYACAAA&#13;&#10;ACEAWiKTo/8AAADlAQAAEwAAAAAAAAAAAAAAAAAAAAAAW0NvbnRlbnRfVHlwZXNdLnhtbFBLAQIt&#13;&#10;ABQABgAIAAAAIQCnSs842AAAAJYBAAALAAAAAAAAAAAAAAAAADABAABfcmVscy8ucmVsc1BLAQIt&#13;&#10;ABQABgAIAAAAIQAVD6Hl3gEAALMDAAAOAAAAAAAAAAAAAAAAADECAABkcnMvZTJvRG9jLnhtbFBL&#13;&#10;AQItABQABgAIAAAAIQCWZbvO4wAAAA4BAAAPAAAAAAAAAAAAAAAAADsEAABkcnMvZG93bnJldi54&#13;&#10;bWxQSwUGAAAAAAQABADzAAAASwUAAAAA&#13;&#10;" stroked="f">
                <v:path arrowok="t"/>
                <v:textbox inset="0,0,0,0">
                  <w:txbxContent>
                    <w:p w:rsidR="00141FA9" w:rsidRDefault="00141FA9">
                      <w:pPr>
                        <w:rPr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:rsidR="00141FA9" w:rsidRDefault="00141FA9">
      <w:pPr>
        <w:sectPr w:rsidR="00141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:rsidR="00141FA9" w:rsidRDefault="00141FA9" w:rsidP="009B146D">
      <w:pPr>
        <w:pStyle w:val="Heading1"/>
        <w:rPr>
          <w:rFonts w:ascii="Arial" w:hAnsi="Arial" w:cs="Arial"/>
          <w:b w:val="0"/>
          <w:bCs w:val="0"/>
        </w:rPr>
      </w:pPr>
      <w:bookmarkStart w:id="1" w:name="_Toc493688443"/>
      <w:r>
        <w:t>Section 2.</w:t>
      </w:r>
      <w:r w:rsidR="003E791C">
        <w:t>0</w:t>
      </w:r>
      <w:r w:rsidR="009B146D">
        <w:t>1</w:t>
      </w:r>
      <w:r>
        <w:t xml:space="preserve">: </w:t>
      </w:r>
      <w:bookmarkEnd w:id="1"/>
      <w:r w:rsidR="00E93500">
        <w:t>Socials</w:t>
      </w: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9B146D" w:rsidTr="00855D61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B146D" w:rsidRDefault="009B146D" w:rsidP="009708D6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:rsidR="009B146D" w:rsidRDefault="009B146D" w:rsidP="009708D6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855D61" w:rsidTr="00855D61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Socials</w:t>
            </w:r>
          </w:p>
          <w:p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:rsidR="00855D61" w:rsidRDefault="007737FE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Luke Pond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:rsidR="00855D61" w:rsidRDefault="007737FE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09</w:t>
            </w:r>
            <w:r w:rsidR="00855D61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/06/202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3</w:t>
            </w:r>
          </w:p>
        </w:tc>
      </w:tr>
      <w:tr w:rsidR="009B146D" w:rsidTr="00855D61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 w:rsidR="00C373E9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Socials</w:t>
            </w:r>
          </w:p>
          <w:p w:rsidR="009B146D" w:rsidRPr="008B0579" w:rsidRDefault="009B146D" w:rsidP="009708D6">
            <w:pPr>
              <w:pStyle w:val="BodyText"/>
            </w:pPr>
          </w:p>
          <w:p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="00C373E9">
              <w:t>UK</w:t>
            </w:r>
          </w:p>
          <w:p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</w:p>
          <w:p w:rsidR="009B146D" w:rsidRDefault="009B146D" w:rsidP="009708D6">
            <w:pPr>
              <w:pStyle w:val="BodyText"/>
            </w:pPr>
            <w:r w:rsidRPr="008B0579">
              <w:rPr>
                <w:b/>
                <w:bCs/>
              </w:rPr>
              <w:t>Conditions: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6D" w:rsidRDefault="009B146D" w:rsidP="009708D6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9B146D" w:rsidTr="00855D61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:rsidR="009B146D" w:rsidRDefault="00807224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Generic</w:t>
            </w:r>
            <w:r w:rsidR="009B146D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:rsidR="009B146D" w:rsidRDefault="00855D61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Annual Review</w:t>
            </w:r>
            <w:r w:rsidR="00AD0B3A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Handover 23</w:t>
            </w:r>
          </w:p>
        </w:tc>
      </w:tr>
    </w:tbl>
    <w:p w:rsidR="00141FA9" w:rsidRDefault="00141FA9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807224" w:rsidRDefault="00807224">
      <w:pPr>
        <w:rPr>
          <w:b/>
          <w:sz w:val="28"/>
          <w:szCs w:val="28"/>
        </w:rPr>
      </w:pPr>
    </w:p>
    <w:p w:rsidR="009B146D" w:rsidRDefault="009B146D">
      <w:pPr>
        <w:rPr>
          <w:b/>
          <w:sz w:val="28"/>
          <w:szCs w:val="28"/>
        </w:rPr>
      </w:pPr>
    </w:p>
    <w:p w:rsidR="00B857FC" w:rsidRPr="00B857FC" w:rsidRDefault="00B857FC" w:rsidP="00B857FC">
      <w:pPr>
        <w:rPr>
          <w:sz w:val="28"/>
          <w:szCs w:val="28"/>
        </w:rPr>
      </w:pPr>
    </w:p>
    <w:p w:rsidR="00B857FC" w:rsidRPr="00B857FC" w:rsidRDefault="00B857FC" w:rsidP="00B857FC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9"/>
        <w:gridCol w:w="2869"/>
        <w:gridCol w:w="1569"/>
        <w:gridCol w:w="7409"/>
        <w:gridCol w:w="684"/>
        <w:gridCol w:w="709"/>
        <w:gridCol w:w="695"/>
        <w:gridCol w:w="1450"/>
      </w:tblGrid>
      <w:tr w:rsidR="00141FA9" w:rsidTr="00242031">
        <w:trPr>
          <w:cantSplit/>
          <w:trHeight w:val="888"/>
          <w:tblHeader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on journey to/from venue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rPr>
                <w:color w:val="000000"/>
                <w:szCs w:val="22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12"/>
              </w:numPr>
              <w:rPr>
                <w:szCs w:val="22"/>
              </w:rPr>
            </w:pPr>
            <w:r w:rsidRPr="00023A14">
              <w:rPr>
                <w:szCs w:val="22"/>
              </w:rPr>
              <w:t>First Aiders to be present</w:t>
            </w:r>
          </w:p>
          <w:p w:rsidR="00141FA9" w:rsidRDefault="00141FA9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 w:rsidRPr="00023A14">
              <w:rPr>
                <w:szCs w:val="22"/>
              </w:rPr>
              <w:t>Care to be taken by individuals when walking to/from club</w:t>
            </w:r>
          </w:p>
          <w:p w:rsidR="00D60ED3" w:rsidRDefault="00D60ED3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Boisterous activity such as piggy backing to be discouraged</w:t>
            </w:r>
          </w:p>
          <w:p w:rsidR="0098178E" w:rsidRPr="00023A14" w:rsidRDefault="0098178E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Organiser of the social to contact SU to make them aware of the situation</w:t>
            </w:r>
            <w:r w:rsidR="00684323">
              <w:rPr>
                <w:szCs w:val="22"/>
              </w:rPr>
              <w:t>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at venue</w:t>
            </w:r>
          </w:p>
          <w:p w:rsidR="00141FA9" w:rsidRPr="00023A14" w:rsidRDefault="00141FA9">
            <w:pPr>
              <w:rPr>
                <w:szCs w:val="22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Venue safety guidelines to be followed.</w:t>
            </w:r>
          </w:p>
          <w:p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Students </w:t>
            </w:r>
            <w:r w:rsidR="00AE5636">
              <w:rPr>
                <w:szCs w:val="22"/>
              </w:rPr>
              <w:t>responsible for awareness of</w:t>
            </w:r>
            <w:r w:rsidRPr="00023A14">
              <w:rPr>
                <w:szCs w:val="22"/>
              </w:rPr>
              <w:t xml:space="preserve"> location of fire escapes and fire extinguishers</w:t>
            </w:r>
          </w:p>
          <w:p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Reminder to be given on basic safety awareness. No running etc.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Food Poisoning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14"/>
              </w:numPr>
              <w:rPr>
                <w:szCs w:val="22"/>
              </w:rPr>
            </w:pPr>
            <w:r w:rsidRPr="00023A14">
              <w:rPr>
                <w:szCs w:val="22"/>
              </w:rPr>
              <w:t>Venue responsible for ensuring food safety rules and regulations are followed.</w:t>
            </w:r>
          </w:p>
          <w:p w:rsidR="00242031" w:rsidRPr="00FB2B85" w:rsidRDefault="00141FA9" w:rsidP="00242031">
            <w:pPr>
              <w:numPr>
                <w:ilvl w:val="0"/>
                <w:numId w:val="14"/>
              </w:numPr>
              <w:rPr>
                <w:szCs w:val="22"/>
              </w:rPr>
            </w:pPr>
            <w:r w:rsidRPr="00023A14">
              <w:rPr>
                <w:szCs w:val="22"/>
              </w:rPr>
              <w:t>Students have their own responsibility to ensure that they buy food from a respectable outlet.</w:t>
            </w:r>
          </w:p>
          <w:p w:rsidR="00242031" w:rsidRPr="00242031" w:rsidRDefault="00242031" w:rsidP="00242031">
            <w:pPr>
              <w:rPr>
                <w:szCs w:val="22"/>
              </w:rPr>
            </w:pPr>
            <w:r w:rsidRPr="00242031">
              <w:rPr>
                <w:szCs w:val="22"/>
              </w:rPr>
              <w:t>Self-Catering</w:t>
            </w:r>
            <w:r w:rsidR="00FB2B85">
              <w:rPr>
                <w:szCs w:val="22"/>
              </w:rPr>
              <w:t>:</w:t>
            </w:r>
          </w:p>
          <w:p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 xml:space="preserve">Food that has passed use by date not consumed </w:t>
            </w:r>
          </w:p>
          <w:p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>Food kept at suitable temperature during storage</w:t>
            </w:r>
          </w:p>
          <w:p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>Ensuring individuals aware of risks.</w:t>
            </w:r>
          </w:p>
          <w:p w:rsidR="00FB2B85" w:rsidRPr="00023A14" w:rsidRDefault="00FB2B85" w:rsidP="00242031">
            <w:pPr>
              <w:rPr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4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2"/>
              </w:numPr>
              <w:snapToGrid w:val="0"/>
              <w:rPr>
                <w:color w:val="000000"/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Allergies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Personal responsibility of the individual to inform someone within the group of any allergies that may affect them during the trip.</w:t>
            </w:r>
          </w:p>
          <w:p w:rsidR="00141FA9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Medical requirements confirmed with group, for example epi- pen.</w:t>
            </w:r>
          </w:p>
          <w:p w:rsidR="00AE5636" w:rsidRDefault="00AE5636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Can</w:t>
            </w:r>
            <w:r w:rsidR="00D60ED3">
              <w:rPr>
                <w:szCs w:val="22"/>
              </w:rPr>
              <w:t>o</w:t>
            </w:r>
            <w:r>
              <w:rPr>
                <w:szCs w:val="22"/>
              </w:rPr>
              <w:t>e Club Medical Form should gather all relevant medical details. The Canoe Club is not responsible for any issues arising due to undeclared medical conditions.</w:t>
            </w:r>
          </w:p>
          <w:p w:rsidR="00C22F4C" w:rsidRPr="00023A14" w:rsidRDefault="00C22F4C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Centre to be advised of any students with allergies.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during activity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023A14">
              <w:rPr>
                <w:szCs w:val="22"/>
              </w:rPr>
              <w:t>Any</w:t>
            </w:r>
            <w:r w:rsidR="00AE5636">
              <w:rPr>
                <w:szCs w:val="22"/>
              </w:rPr>
              <w:t xml:space="preserve"> moderate (or higher)</w:t>
            </w:r>
            <w:r w:rsidRPr="00023A14">
              <w:rPr>
                <w:szCs w:val="22"/>
              </w:rPr>
              <w:t xml:space="preserve"> injury during a trip should be reported to the Students Union.</w:t>
            </w:r>
          </w:p>
          <w:p w:rsidR="00A5180E" w:rsidRPr="00023A14" w:rsidRDefault="00A5180E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 xml:space="preserve">Risk </w:t>
            </w:r>
            <w:r w:rsidR="00413D1E">
              <w:rPr>
                <w:szCs w:val="22"/>
              </w:rPr>
              <w:t xml:space="preserve">assessments </w:t>
            </w:r>
            <w:r>
              <w:rPr>
                <w:szCs w:val="22"/>
              </w:rPr>
              <w:t>should be reviewed within 3 years of the previous review by a competent team, and any actions with unacceptable risk should be discontinued.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3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9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Under 18’s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023A14">
              <w:rPr>
                <w:szCs w:val="22"/>
              </w:rPr>
              <w:t>Students made aware that the event is for over 18’s only</w:t>
            </w:r>
          </w:p>
          <w:p w:rsidR="00141FA9" w:rsidRPr="00023A14" w:rsidRDefault="00141FA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023A14">
              <w:rPr>
                <w:szCs w:val="22"/>
              </w:rPr>
              <w:t>List given to SU to check if any under 18’s have signed up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Intoxicated students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023A14">
              <w:rPr>
                <w:szCs w:val="22"/>
              </w:rPr>
              <w:t>First Aiders present</w:t>
            </w:r>
          </w:p>
          <w:p w:rsidR="00BF2865" w:rsidRDefault="00BF2865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Excessive drinking is not encouraged</w:t>
            </w:r>
          </w:p>
          <w:p w:rsidR="00413D1E" w:rsidRDefault="00413D1E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Atmosphere of support in the group should encourage support of any intoxicated person.</w:t>
            </w:r>
          </w:p>
          <w:p w:rsidR="0059131F" w:rsidRDefault="0059131F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Any risks taken by an intoxicated person are their own responsibility.</w:t>
            </w:r>
          </w:p>
          <w:p w:rsidR="00BF2865" w:rsidRPr="00023A14" w:rsidRDefault="00BF2865" w:rsidP="00BF2865">
            <w:pPr>
              <w:ind w:left="360"/>
              <w:rPr>
                <w:szCs w:val="22"/>
              </w:rPr>
            </w:pPr>
          </w:p>
          <w:p w:rsidR="00141FA9" w:rsidRPr="00023A14" w:rsidRDefault="00141FA9" w:rsidP="00C373E9">
            <w:pPr>
              <w:ind w:left="360"/>
              <w:rPr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F1B" w:rsidRPr="00023A14" w:rsidRDefault="005E0F1B">
            <w:pPr>
              <w:rPr>
                <w:szCs w:val="22"/>
              </w:rPr>
            </w:pPr>
          </w:p>
        </w:tc>
      </w:tr>
      <w:tr w:rsidR="007B11DA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Default="007B11DA" w:rsidP="007B11DA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Pr="00023A14" w:rsidRDefault="007B11DA" w:rsidP="007B11DA">
            <w:pPr>
              <w:rPr>
                <w:szCs w:val="22"/>
              </w:rPr>
            </w:pPr>
            <w:r>
              <w:rPr>
                <w:szCs w:val="22"/>
              </w:rPr>
              <w:t>Drowning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Pr="00023A14" w:rsidRDefault="007B11DA" w:rsidP="007B11DA">
            <w:pPr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Default="007B11DA" w:rsidP="007B11DA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Kayaking socials are often located near to water. Late at night/after having a drink, cold water shock and drowning becomes a significant risk.</w:t>
            </w:r>
          </w:p>
          <w:p w:rsidR="007B11DA" w:rsidRDefault="007B11DA" w:rsidP="007B11DA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Any social taking place near water must remind participants to stay away from the water when not taking part in kayaking activity.</w:t>
            </w:r>
          </w:p>
          <w:p w:rsidR="00E6498A" w:rsidRPr="00023A14" w:rsidRDefault="00E6498A" w:rsidP="007B11DA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 xml:space="preserve">Attempt to </w:t>
            </w:r>
            <w:r w:rsidRPr="007B11DA">
              <w:rPr>
                <w:color w:val="000000"/>
                <w:szCs w:val="22"/>
              </w:rPr>
              <w:t>prevent water access to anyone deemed intoxicated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Pr="007B11DA" w:rsidRDefault="007B11DA" w:rsidP="007B11DA">
            <w:pPr>
              <w:snapToGrid w:val="0"/>
              <w:rPr>
                <w:szCs w:val="22"/>
                <w:lang w:eastAsia="en-GB"/>
              </w:rPr>
            </w:pPr>
            <w:r w:rsidRPr="007B11DA"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Pr="007B11DA" w:rsidRDefault="007B11DA" w:rsidP="007B11DA">
            <w:pPr>
              <w:rPr>
                <w:color w:val="000000"/>
                <w:szCs w:val="22"/>
              </w:rPr>
            </w:pPr>
            <w:r w:rsidRPr="007B11DA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DA" w:rsidRPr="007B11DA" w:rsidRDefault="007B11DA" w:rsidP="007B11DA">
            <w:pPr>
              <w:rPr>
                <w:color w:val="000000"/>
                <w:szCs w:val="22"/>
              </w:rPr>
            </w:pPr>
            <w:r w:rsidRPr="007B11DA">
              <w:rPr>
                <w:color w:val="000000"/>
                <w:szCs w:val="22"/>
              </w:rPr>
              <w:t>12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1DA" w:rsidRPr="007B11DA" w:rsidRDefault="007B11DA" w:rsidP="007B11DA">
            <w:pPr>
              <w:rPr>
                <w:szCs w:val="22"/>
              </w:rPr>
            </w:pPr>
          </w:p>
        </w:tc>
      </w:tr>
      <w:tr w:rsidR="00141FA9" w:rsidTr="00242031">
        <w:trPr>
          <w:cantSplit/>
          <w:trHeight w:val="1183"/>
        </w:trPr>
        <w:tc>
          <w:tcPr>
            <w:tcW w:w="3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AE5636" w:rsidRDefault="00BF286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8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Cash handling</w:t>
            </w:r>
          </w:p>
        </w:tc>
        <w:tc>
          <w:tcPr>
            <w:tcW w:w="15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C373E9">
            <w:pPr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Social</w:t>
            </w:r>
            <w:r w:rsidR="002C4A3E">
              <w:rPr>
                <w:szCs w:val="22"/>
              </w:rPr>
              <w:t xml:space="preserve"> fees should be paid for via an SU product where possible</w:t>
            </w:r>
          </w:p>
          <w:p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Any money collected by committee members must be paid in to SU finance ASAP</w:t>
            </w:r>
          </w:p>
          <w:p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Tickets provided as proof of purchase</w:t>
            </w:r>
          </w:p>
          <w:p w:rsidR="00141FA9" w:rsidRPr="00023A14" w:rsidRDefault="00141FA9">
            <w:pPr>
              <w:ind w:left="567"/>
              <w:rPr>
                <w:szCs w:val="22"/>
              </w:rPr>
            </w:pPr>
            <w:r w:rsidRPr="00023A14">
              <w:rPr>
                <w:szCs w:val="22"/>
              </w:rPr>
              <w:t>List with names of all those who have paid (trip list)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rPr>
                <w:szCs w:val="22"/>
                <w:lang w:eastAsia="en-GB"/>
              </w:rPr>
            </w:pPr>
          </w:p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Pr="00023A14" w:rsidRDefault="00141FA9" w:rsidP="002C4A3E">
            <w:pPr>
              <w:rPr>
                <w:szCs w:val="22"/>
              </w:rPr>
            </w:pPr>
          </w:p>
        </w:tc>
      </w:tr>
    </w:tbl>
    <w:p w:rsidR="00141FA9" w:rsidRDefault="00141FA9">
      <w:pPr>
        <w:rPr>
          <w:b/>
          <w:sz w:val="28"/>
          <w:szCs w:val="28"/>
        </w:rPr>
      </w:pPr>
    </w:p>
    <w:p w:rsidR="00141FA9" w:rsidRDefault="009B146D" w:rsidP="009B146D">
      <w:pPr>
        <w:pStyle w:val="Heading1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 </w:t>
      </w:r>
    </w:p>
    <w:p w:rsidR="00855D61" w:rsidRDefault="00855D61" w:rsidP="00855D61">
      <w:pPr>
        <w:pStyle w:val="Caption"/>
        <w:keepNext/>
      </w:pPr>
    </w:p>
    <w:tbl>
      <w:tblPr>
        <w:tblW w:w="15724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667"/>
        <w:gridCol w:w="6586"/>
        <w:gridCol w:w="4030"/>
        <w:gridCol w:w="4441"/>
      </w:tblGrid>
      <w:tr w:rsidR="00855D61" w:rsidTr="00855D61">
        <w:trPr>
          <w:cantSplit/>
          <w:trHeight w:val="9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D61" w:rsidRDefault="00855D61" w:rsidP="00855D61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:rsidR="00855D61" w:rsidRDefault="003846CB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Luke Pond</w:t>
            </w:r>
            <w:r w:rsidR="00855D61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(BUCC Chair 202</w:t>
            </w:r>
            <w:r w:rsidR="00B43A05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3</w:t>
            </w:r>
            <w:r w:rsidR="00855D61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/202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4</w:t>
            </w:r>
            <w:r w:rsidR="00855D61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:rsidR="00855D61" w:rsidRDefault="00B43A05" w:rsidP="00855D61">
            <w:pPr>
              <w:pStyle w:val="BodyText"/>
            </w:pPr>
            <w:r>
              <w:rPr>
                <w:color w:val="000000"/>
                <w:kern w:val="1"/>
                <w:szCs w:val="20"/>
              </w:rPr>
              <w:t>LUKE POND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D61" w:rsidRDefault="00855D61" w:rsidP="00F143AC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:rsidR="00855D61" w:rsidRDefault="00B43A05" w:rsidP="00F143AC">
            <w:pPr>
              <w:pStyle w:val="BodyText"/>
            </w:pPr>
            <w:r>
              <w:rPr>
                <w:color w:val="000000"/>
                <w:kern w:val="1"/>
                <w:szCs w:val="20"/>
              </w:rPr>
              <w:t>0</w:t>
            </w:r>
            <w:r w:rsidR="007737FE">
              <w:rPr>
                <w:color w:val="000000"/>
                <w:kern w:val="1"/>
                <w:szCs w:val="20"/>
              </w:rPr>
              <w:t>9</w:t>
            </w:r>
            <w:r w:rsidR="00EA36E3">
              <w:rPr>
                <w:color w:val="000000"/>
                <w:kern w:val="1"/>
                <w:szCs w:val="20"/>
              </w:rPr>
              <w:t>/0</w:t>
            </w:r>
            <w:r w:rsidR="00855D61">
              <w:rPr>
                <w:color w:val="000000"/>
                <w:kern w:val="1"/>
                <w:szCs w:val="20"/>
              </w:rPr>
              <w:t>6/202</w:t>
            </w:r>
            <w:r>
              <w:rPr>
                <w:color w:val="000000"/>
                <w:kern w:val="1"/>
                <w:szCs w:val="20"/>
              </w:rPr>
              <w:t>3</w:t>
            </w:r>
          </w:p>
        </w:tc>
      </w:tr>
    </w:tbl>
    <w:p w:rsidR="00141FA9" w:rsidRDefault="00141FA9" w:rsidP="002C4A3E">
      <w:pPr>
        <w:pStyle w:val="BodyText"/>
        <w:tabs>
          <w:tab w:val="left" w:pos="1155"/>
        </w:tabs>
      </w:pPr>
    </w:p>
    <w:sectPr w:rsidR="00141FA9">
      <w:footerReference w:type="even" r:id="rId15"/>
      <w:footerReference w:type="default" r:id="rId16"/>
      <w:footerReference w:type="first" r:id="rId17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41F" w:rsidRDefault="001D641F">
      <w:r>
        <w:separator/>
      </w:r>
    </w:p>
  </w:endnote>
  <w:endnote w:type="continuationSeparator" w:id="0">
    <w:p w:rsidR="001D641F" w:rsidRDefault="001D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>Bath University Canoe Club Risk Assessmen</w:t>
    </w:r>
    <w:r w:rsidR="00AE5636">
      <w:rPr>
        <w:sz w:val="20"/>
        <w:szCs w:val="20"/>
        <w:lang w:val="en-US"/>
      </w:rPr>
      <w:t>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41F" w:rsidRDefault="001D641F">
      <w:r>
        <w:separator/>
      </w:r>
    </w:p>
  </w:footnote>
  <w:footnote w:type="continuationSeparator" w:id="0">
    <w:p w:rsidR="001D641F" w:rsidRDefault="001D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413"/>
    <w:multiLevelType w:val="hybridMultilevel"/>
    <w:tmpl w:val="EB1A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CC4"/>
    <w:multiLevelType w:val="hybridMultilevel"/>
    <w:tmpl w:val="9E24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720A1"/>
    <w:multiLevelType w:val="hybridMultilevel"/>
    <w:tmpl w:val="68DC434E"/>
    <w:lvl w:ilvl="0" w:tplc="FFFFFFFF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2F73"/>
    <w:multiLevelType w:val="hybridMultilevel"/>
    <w:tmpl w:val="3C6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2227">
    <w:abstractNumId w:val="0"/>
  </w:num>
  <w:num w:numId="2" w16cid:durableId="609164891">
    <w:abstractNumId w:val="1"/>
  </w:num>
  <w:num w:numId="3" w16cid:durableId="959410921">
    <w:abstractNumId w:val="2"/>
  </w:num>
  <w:num w:numId="4" w16cid:durableId="642193710">
    <w:abstractNumId w:val="3"/>
  </w:num>
  <w:num w:numId="5" w16cid:durableId="1056389314">
    <w:abstractNumId w:val="4"/>
  </w:num>
  <w:num w:numId="6" w16cid:durableId="855732662">
    <w:abstractNumId w:val="5"/>
  </w:num>
  <w:num w:numId="7" w16cid:durableId="725566355">
    <w:abstractNumId w:val="6"/>
  </w:num>
  <w:num w:numId="8" w16cid:durableId="833957215">
    <w:abstractNumId w:val="7"/>
  </w:num>
  <w:num w:numId="9" w16cid:durableId="1612125885">
    <w:abstractNumId w:val="8"/>
  </w:num>
  <w:num w:numId="10" w16cid:durableId="105739758">
    <w:abstractNumId w:val="9"/>
  </w:num>
  <w:num w:numId="11" w16cid:durableId="1869755506">
    <w:abstractNumId w:val="10"/>
  </w:num>
  <w:num w:numId="12" w16cid:durableId="1198735629">
    <w:abstractNumId w:val="11"/>
  </w:num>
  <w:num w:numId="13" w16cid:durableId="1211308238">
    <w:abstractNumId w:val="12"/>
  </w:num>
  <w:num w:numId="14" w16cid:durableId="1142817944">
    <w:abstractNumId w:val="13"/>
  </w:num>
  <w:num w:numId="15" w16cid:durableId="1887571348">
    <w:abstractNumId w:val="14"/>
  </w:num>
  <w:num w:numId="16" w16cid:durableId="284311753">
    <w:abstractNumId w:val="15"/>
  </w:num>
  <w:num w:numId="17" w16cid:durableId="724960002">
    <w:abstractNumId w:val="16"/>
  </w:num>
  <w:num w:numId="18" w16cid:durableId="218828572">
    <w:abstractNumId w:val="17"/>
  </w:num>
  <w:num w:numId="19" w16cid:durableId="1772629055">
    <w:abstractNumId w:val="18"/>
  </w:num>
  <w:num w:numId="20" w16cid:durableId="715159942">
    <w:abstractNumId w:val="19"/>
  </w:num>
  <w:num w:numId="21" w16cid:durableId="1728913943">
    <w:abstractNumId w:val="24"/>
  </w:num>
  <w:num w:numId="22" w16cid:durableId="266815071">
    <w:abstractNumId w:val="23"/>
  </w:num>
  <w:num w:numId="23" w16cid:durableId="2072118745">
    <w:abstractNumId w:val="20"/>
  </w:num>
  <w:num w:numId="24" w16cid:durableId="701439079">
    <w:abstractNumId w:val="21"/>
  </w:num>
  <w:num w:numId="25" w16cid:durableId="45106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109DB"/>
    <w:rsid w:val="00023A14"/>
    <w:rsid w:val="00027787"/>
    <w:rsid w:val="0004163B"/>
    <w:rsid w:val="000636AD"/>
    <w:rsid w:val="0007249A"/>
    <w:rsid w:val="001048CB"/>
    <w:rsid w:val="00141FA9"/>
    <w:rsid w:val="001A3346"/>
    <w:rsid w:val="001D641F"/>
    <w:rsid w:val="00242031"/>
    <w:rsid w:val="002C4A3E"/>
    <w:rsid w:val="003846CB"/>
    <w:rsid w:val="003B1352"/>
    <w:rsid w:val="003E6224"/>
    <w:rsid w:val="003E791C"/>
    <w:rsid w:val="00413D1E"/>
    <w:rsid w:val="0050061E"/>
    <w:rsid w:val="00521FE1"/>
    <w:rsid w:val="00572967"/>
    <w:rsid w:val="0059131F"/>
    <w:rsid w:val="005B17C3"/>
    <w:rsid w:val="005B1B03"/>
    <w:rsid w:val="005C07AF"/>
    <w:rsid w:val="005E0F1B"/>
    <w:rsid w:val="00684323"/>
    <w:rsid w:val="006F20F8"/>
    <w:rsid w:val="00742AC7"/>
    <w:rsid w:val="007737FE"/>
    <w:rsid w:val="007A4EC4"/>
    <w:rsid w:val="007B11DA"/>
    <w:rsid w:val="00807224"/>
    <w:rsid w:val="00855D61"/>
    <w:rsid w:val="008D26A7"/>
    <w:rsid w:val="00903124"/>
    <w:rsid w:val="009708D6"/>
    <w:rsid w:val="0098178E"/>
    <w:rsid w:val="00995ED4"/>
    <w:rsid w:val="009A3FF0"/>
    <w:rsid w:val="009B146D"/>
    <w:rsid w:val="009D5116"/>
    <w:rsid w:val="00A22B13"/>
    <w:rsid w:val="00A5180E"/>
    <w:rsid w:val="00AB34FD"/>
    <w:rsid w:val="00AC2362"/>
    <w:rsid w:val="00AD0B3A"/>
    <w:rsid w:val="00AE5636"/>
    <w:rsid w:val="00B32845"/>
    <w:rsid w:val="00B43A05"/>
    <w:rsid w:val="00B466B3"/>
    <w:rsid w:val="00B500D8"/>
    <w:rsid w:val="00B57327"/>
    <w:rsid w:val="00B857FC"/>
    <w:rsid w:val="00BF2865"/>
    <w:rsid w:val="00C22E0A"/>
    <w:rsid w:val="00C22F4C"/>
    <w:rsid w:val="00C373E9"/>
    <w:rsid w:val="00C53772"/>
    <w:rsid w:val="00C570AE"/>
    <w:rsid w:val="00D43962"/>
    <w:rsid w:val="00D60ED3"/>
    <w:rsid w:val="00D656CC"/>
    <w:rsid w:val="00DC6F42"/>
    <w:rsid w:val="00E41D9F"/>
    <w:rsid w:val="00E6498A"/>
    <w:rsid w:val="00E93500"/>
    <w:rsid w:val="00EA36E3"/>
    <w:rsid w:val="00F143AC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5B59F4"/>
  <w15:chartTrackingRefBased/>
  <w15:docId w15:val="{B7C090CC-97D9-FB48-A371-3340B4F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855D61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footer" Target="footer6.xml" /><Relationship Id="rId2" Type="http://schemas.openxmlformats.org/officeDocument/2006/relationships/numbering" Target="numbering.xml" /><Relationship Id="rId16" Type="http://schemas.openxmlformats.org/officeDocument/2006/relationships/footer" Target="footer5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oter" Target="footer4.xml" /><Relationship Id="rId10" Type="http://schemas.openxmlformats.org/officeDocument/2006/relationships/header" Target="header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378A-4934-4FCF-981C-92863278A0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Luke Pond</cp:lastModifiedBy>
  <cp:revision>2</cp:revision>
  <cp:lastPrinted>1899-12-31T23:00:00Z</cp:lastPrinted>
  <dcterms:created xsi:type="dcterms:W3CDTF">2023-06-09T16:29:00Z</dcterms:created>
  <dcterms:modified xsi:type="dcterms:W3CDTF">2023-06-09T16:29:00Z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